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7A9" w:rsidRDefault="00B107A9" w:rsidP="00B107A9">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r w:rsidRPr="00952859">
        <w:rPr>
          <w:rFonts w:ascii="Times New Roman" w:eastAsia="Times New Roman" w:hAnsi="Times New Roman" w:cs="Times New Roman"/>
          <w:b/>
          <w:bCs/>
          <w:sz w:val="24"/>
          <w:szCs w:val="24"/>
          <w:lang w:eastAsia="hr-HR"/>
        </w:rPr>
        <w:t>VLADA REPUBLIKE HRVATSKE</w:t>
      </w:r>
    </w:p>
    <w:p w:rsidR="00B107A9" w:rsidRPr="00952859" w:rsidRDefault="00B107A9" w:rsidP="00B107A9">
      <w:pPr>
        <w:spacing w:after="0" w:line="240" w:lineRule="auto"/>
        <w:jc w:val="center"/>
        <w:rPr>
          <w:rFonts w:ascii="Times New Roman" w:eastAsia="Times New Roman" w:hAnsi="Times New Roman" w:cs="Times New Roman"/>
          <w:b/>
          <w:bCs/>
          <w:sz w:val="24"/>
          <w:szCs w:val="24"/>
          <w:lang w:eastAsia="hr-HR"/>
        </w:rPr>
      </w:pPr>
    </w:p>
    <w:p w:rsidR="00B107A9" w:rsidRPr="00952859" w:rsidRDefault="00B107A9" w:rsidP="00B107A9">
      <w:pPr>
        <w:spacing w:after="0" w:line="240" w:lineRule="auto"/>
        <w:jc w:val="both"/>
        <w:rPr>
          <w:rFonts w:ascii="Times New Roman" w:eastAsia="Times New Roman" w:hAnsi="Times New Roman" w:cs="Times New Roman"/>
          <w:b/>
          <w:bCs/>
          <w:sz w:val="24"/>
          <w:szCs w:val="24"/>
          <w:lang w:eastAsia="hr-HR"/>
        </w:rPr>
      </w:pPr>
    </w:p>
    <w:p w:rsidR="00695821" w:rsidRPr="00F70B2A" w:rsidRDefault="00695821" w:rsidP="00695821">
      <w:pPr>
        <w:rPr>
          <w:lang w:val="hr-HR"/>
        </w:rPr>
      </w:pPr>
    </w:p>
    <w:p w:rsidR="00695821" w:rsidRPr="00F70B2A" w:rsidRDefault="00695821" w:rsidP="00695821">
      <w:pPr>
        <w:rPr>
          <w:lang w:val="hr-HR"/>
        </w:rPr>
      </w:pPr>
    </w:p>
    <w:p w:rsidR="00695821" w:rsidRPr="00F70B2A" w:rsidRDefault="00695821" w:rsidP="00695821">
      <w:pPr>
        <w:rPr>
          <w:lang w:val="hr-HR"/>
        </w:rPr>
      </w:pPr>
    </w:p>
    <w:p w:rsidR="00695821" w:rsidRPr="00F70B2A" w:rsidRDefault="00695821" w:rsidP="00695821">
      <w:pPr>
        <w:rPr>
          <w:lang w:val="hr-HR"/>
        </w:rPr>
      </w:pPr>
    </w:p>
    <w:p w:rsidR="00695821" w:rsidRDefault="00695821" w:rsidP="00695821">
      <w:pPr>
        <w:rPr>
          <w:lang w:val="hr-HR"/>
        </w:rPr>
      </w:pPr>
    </w:p>
    <w:p w:rsidR="00B5313A" w:rsidRDefault="00B5313A" w:rsidP="00695821">
      <w:pPr>
        <w:rPr>
          <w:lang w:val="hr-HR"/>
        </w:rPr>
      </w:pPr>
    </w:p>
    <w:p w:rsidR="00B5313A" w:rsidRDefault="00B5313A" w:rsidP="00695821">
      <w:pPr>
        <w:rPr>
          <w:lang w:val="hr-HR"/>
        </w:rPr>
      </w:pPr>
    </w:p>
    <w:p w:rsidR="00B5313A" w:rsidRPr="00F70B2A" w:rsidRDefault="00B5313A" w:rsidP="00695821">
      <w:pPr>
        <w:rPr>
          <w:lang w:val="hr-HR"/>
        </w:rPr>
      </w:pPr>
    </w:p>
    <w:p w:rsidR="00695821" w:rsidRPr="00F70B2A" w:rsidRDefault="00695821" w:rsidP="00695821">
      <w:pPr>
        <w:rPr>
          <w:lang w:val="hr-HR"/>
        </w:rPr>
      </w:pPr>
    </w:p>
    <w:p w:rsidR="00695821" w:rsidRPr="00B5313A" w:rsidRDefault="00695821" w:rsidP="00B5313A">
      <w:pPr>
        <w:jc w:val="center"/>
        <w:rPr>
          <w:rFonts w:ascii="Times New Roman" w:hAnsi="Times New Roman" w:cs="Times New Roman"/>
          <w:b/>
          <w:sz w:val="24"/>
          <w:szCs w:val="24"/>
          <w:lang w:val="hr-HR"/>
        </w:rPr>
      </w:pPr>
    </w:p>
    <w:p w:rsidR="00B5313A" w:rsidRDefault="00B5313A" w:rsidP="00B5313A">
      <w:pPr>
        <w:spacing w:after="0" w:line="240" w:lineRule="auto"/>
        <w:jc w:val="center"/>
        <w:rPr>
          <w:rFonts w:ascii="Times New Roman" w:hAnsi="Times New Roman" w:cs="Times New Roman"/>
          <w:b/>
          <w:sz w:val="24"/>
          <w:szCs w:val="24"/>
        </w:rPr>
      </w:pPr>
      <w:r w:rsidRPr="00B5313A">
        <w:rPr>
          <w:rFonts w:ascii="Times New Roman" w:hAnsi="Times New Roman" w:cs="Times New Roman"/>
          <w:b/>
          <w:sz w:val="24"/>
          <w:szCs w:val="24"/>
        </w:rPr>
        <w:t>OBRAZLOŽENJE DRŽAVNOG PRORAČUNA I FINANCIJSKIH PLANOVA IZVANPRORAČUNSKIH KORISNIKA ZA 202</w:t>
      </w:r>
      <w:r>
        <w:rPr>
          <w:rFonts w:ascii="Times New Roman" w:hAnsi="Times New Roman" w:cs="Times New Roman"/>
          <w:b/>
          <w:sz w:val="24"/>
          <w:szCs w:val="24"/>
        </w:rPr>
        <w:t>1</w:t>
      </w:r>
      <w:r w:rsidRPr="00B5313A">
        <w:rPr>
          <w:rFonts w:ascii="Times New Roman" w:hAnsi="Times New Roman" w:cs="Times New Roman"/>
          <w:b/>
          <w:sz w:val="24"/>
          <w:szCs w:val="24"/>
        </w:rPr>
        <w:t xml:space="preserve">. I PROJEKCIJE </w:t>
      </w:r>
    </w:p>
    <w:p w:rsidR="00B5313A" w:rsidRPr="00B5313A" w:rsidRDefault="00B5313A" w:rsidP="00B5313A">
      <w:pPr>
        <w:spacing w:after="0" w:line="240" w:lineRule="auto"/>
        <w:jc w:val="center"/>
        <w:rPr>
          <w:rFonts w:ascii="Times New Roman" w:hAnsi="Times New Roman" w:cs="Times New Roman"/>
          <w:b/>
          <w:sz w:val="24"/>
          <w:szCs w:val="24"/>
        </w:rPr>
      </w:pPr>
      <w:r w:rsidRPr="00B5313A">
        <w:rPr>
          <w:rFonts w:ascii="Times New Roman" w:hAnsi="Times New Roman" w:cs="Times New Roman"/>
          <w:b/>
          <w:sz w:val="24"/>
          <w:szCs w:val="24"/>
        </w:rPr>
        <w:t>ZA 202</w:t>
      </w:r>
      <w:r>
        <w:rPr>
          <w:rFonts w:ascii="Times New Roman" w:hAnsi="Times New Roman" w:cs="Times New Roman"/>
          <w:b/>
          <w:sz w:val="24"/>
          <w:szCs w:val="24"/>
        </w:rPr>
        <w:t>2</w:t>
      </w:r>
      <w:r w:rsidRPr="00B5313A">
        <w:rPr>
          <w:rFonts w:ascii="Times New Roman" w:hAnsi="Times New Roman" w:cs="Times New Roman"/>
          <w:b/>
          <w:sz w:val="24"/>
          <w:szCs w:val="24"/>
        </w:rPr>
        <w:t>. I 202</w:t>
      </w:r>
      <w:r>
        <w:rPr>
          <w:rFonts w:ascii="Times New Roman" w:hAnsi="Times New Roman" w:cs="Times New Roman"/>
          <w:b/>
          <w:sz w:val="24"/>
          <w:szCs w:val="24"/>
        </w:rPr>
        <w:t>3</w:t>
      </w:r>
      <w:r w:rsidRPr="00B5313A">
        <w:rPr>
          <w:rFonts w:ascii="Times New Roman" w:hAnsi="Times New Roman" w:cs="Times New Roman"/>
          <w:b/>
          <w:sz w:val="24"/>
          <w:szCs w:val="24"/>
        </w:rPr>
        <w:t>. GODINU</w:t>
      </w:r>
    </w:p>
    <w:p w:rsidR="00695821" w:rsidRPr="00F70B2A" w:rsidRDefault="00695821" w:rsidP="00695821">
      <w:pPr>
        <w:rPr>
          <w:lang w:val="hr-HR"/>
        </w:rPr>
      </w:pPr>
    </w:p>
    <w:p w:rsidR="00695821" w:rsidRPr="00F70B2A" w:rsidRDefault="00695821" w:rsidP="00695821">
      <w:pPr>
        <w:rPr>
          <w:lang w:val="hr-HR"/>
        </w:rPr>
      </w:pPr>
    </w:p>
    <w:p w:rsidR="00695821" w:rsidRPr="00F70B2A" w:rsidRDefault="00695821" w:rsidP="00695821">
      <w:pPr>
        <w:rPr>
          <w:lang w:val="hr-HR"/>
        </w:rPr>
      </w:pPr>
    </w:p>
    <w:p w:rsidR="00695821" w:rsidRPr="00F70B2A" w:rsidRDefault="00695821" w:rsidP="00695821">
      <w:pPr>
        <w:rPr>
          <w:lang w:val="hr-HR"/>
        </w:rPr>
      </w:pPr>
    </w:p>
    <w:p w:rsidR="00695821" w:rsidRPr="00F70B2A" w:rsidRDefault="00695821" w:rsidP="00695821">
      <w:pPr>
        <w:rPr>
          <w:lang w:val="hr-HR"/>
        </w:rPr>
      </w:pPr>
    </w:p>
    <w:p w:rsidR="00695821" w:rsidRPr="00F70B2A" w:rsidRDefault="00695821" w:rsidP="00695821">
      <w:pPr>
        <w:rPr>
          <w:lang w:val="hr-HR"/>
        </w:rPr>
      </w:pPr>
    </w:p>
    <w:p w:rsidR="00695821" w:rsidRDefault="00695821" w:rsidP="00695821">
      <w:pPr>
        <w:rPr>
          <w:lang w:val="hr-HR"/>
        </w:rPr>
      </w:pPr>
    </w:p>
    <w:p w:rsidR="00B5313A" w:rsidRDefault="00B5313A" w:rsidP="00695821">
      <w:pPr>
        <w:rPr>
          <w:lang w:val="hr-HR"/>
        </w:rPr>
      </w:pPr>
    </w:p>
    <w:p w:rsidR="00B5313A" w:rsidRDefault="00B5313A" w:rsidP="00695821">
      <w:pPr>
        <w:rPr>
          <w:lang w:val="hr-HR"/>
        </w:rPr>
      </w:pPr>
    </w:p>
    <w:p w:rsidR="00B5313A" w:rsidRDefault="00B5313A" w:rsidP="00695821">
      <w:pPr>
        <w:rPr>
          <w:lang w:val="hr-HR"/>
        </w:rPr>
      </w:pPr>
    </w:p>
    <w:p w:rsidR="00B5313A" w:rsidRPr="00F70B2A" w:rsidRDefault="00B5313A" w:rsidP="00695821">
      <w:pPr>
        <w:rPr>
          <w:lang w:val="hr-HR"/>
        </w:rPr>
      </w:pPr>
    </w:p>
    <w:p w:rsidR="00B107A9" w:rsidRPr="00952859" w:rsidRDefault="00B107A9" w:rsidP="00B107A9">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rsidR="00B107A9" w:rsidRPr="00952859" w:rsidRDefault="00B107A9" w:rsidP="00B107A9">
      <w:pPr>
        <w:pBdr>
          <w:bottom w:val="single" w:sz="12" w:space="1" w:color="auto"/>
        </w:pBdr>
        <w:spacing w:after="0" w:line="240" w:lineRule="auto"/>
        <w:rPr>
          <w:rFonts w:ascii="Times New Roman" w:eastAsia="Times New Roman" w:hAnsi="Times New Roman" w:cs="Times New Roman"/>
          <w:b/>
          <w:bCs/>
          <w:sz w:val="24"/>
          <w:szCs w:val="24"/>
          <w:lang w:eastAsia="hr-HR"/>
        </w:rPr>
      </w:pPr>
    </w:p>
    <w:p w:rsidR="00B107A9" w:rsidRDefault="00B107A9" w:rsidP="00B107A9">
      <w:pPr>
        <w:jc w:val="center"/>
        <w:rPr>
          <w:lang w:val="hr-HR"/>
        </w:rPr>
      </w:pPr>
      <w:r w:rsidRPr="00952859">
        <w:rPr>
          <w:rFonts w:ascii="Times New Roman" w:eastAsia="Times New Roman" w:hAnsi="Times New Roman" w:cs="Times New Roman"/>
          <w:b/>
          <w:bCs/>
          <w:sz w:val="24"/>
          <w:szCs w:val="24"/>
          <w:lang w:eastAsia="hr-HR"/>
        </w:rPr>
        <w:t xml:space="preserve">Zagreb, </w:t>
      </w:r>
      <w:r>
        <w:rPr>
          <w:rFonts w:ascii="Times New Roman" w:eastAsia="Times New Roman" w:hAnsi="Times New Roman" w:cs="Times New Roman"/>
          <w:b/>
          <w:bCs/>
          <w:sz w:val="24"/>
          <w:szCs w:val="24"/>
          <w:lang w:eastAsia="hr-HR"/>
        </w:rPr>
        <w:t>listopad</w:t>
      </w:r>
      <w:r w:rsidRPr="00952859">
        <w:rPr>
          <w:rFonts w:ascii="Times New Roman" w:eastAsia="Times New Roman" w:hAnsi="Times New Roman" w:cs="Times New Roman"/>
          <w:b/>
          <w:bCs/>
          <w:sz w:val="24"/>
          <w:szCs w:val="24"/>
          <w:lang w:eastAsia="hr-HR"/>
        </w:rPr>
        <w:t xml:space="preserve"> 2020.</w:t>
      </w:r>
    </w:p>
    <w:p w:rsidR="00B107A9" w:rsidRPr="00F70B2A" w:rsidRDefault="00B107A9" w:rsidP="00695821">
      <w:pPr>
        <w:jc w:val="center"/>
        <w:rPr>
          <w:lang w:val="hr-HR"/>
        </w:rPr>
        <w:sectPr w:rsidR="00B107A9" w:rsidRPr="00F70B2A" w:rsidSect="00927736">
          <w:footerReference w:type="default" r:id="rId8"/>
          <w:pgSz w:w="11906" w:h="16838"/>
          <w:pgMar w:top="1417" w:right="1417" w:bottom="1417" w:left="1417" w:header="708" w:footer="708" w:gutter="0"/>
          <w:cols w:space="708"/>
          <w:titlePg/>
          <w:docGrid w:linePitch="360"/>
        </w:sectPr>
      </w:pPr>
    </w:p>
    <w:p w:rsidR="00695821" w:rsidRPr="00F70B2A" w:rsidRDefault="00695821" w:rsidP="00695821">
      <w:pPr>
        <w:rPr>
          <w:rFonts w:asciiTheme="majorHAnsi" w:hAnsiTheme="majorHAnsi"/>
          <w:b/>
          <w:color w:val="365F91" w:themeColor="accent1" w:themeShade="BF"/>
          <w:sz w:val="28"/>
          <w:lang w:val="hr-HR"/>
        </w:rPr>
      </w:pPr>
      <w:r w:rsidRPr="00F70B2A">
        <w:rPr>
          <w:rFonts w:asciiTheme="majorHAnsi" w:hAnsiTheme="majorHAnsi"/>
          <w:b/>
          <w:color w:val="365F91" w:themeColor="accent1" w:themeShade="BF"/>
          <w:sz w:val="28"/>
          <w:lang w:val="hr-HR"/>
        </w:rPr>
        <w:t>SADRŽAJ</w:t>
      </w:r>
    </w:p>
    <w:sdt>
      <w:sdtPr>
        <w:rPr>
          <w:rFonts w:asciiTheme="minorHAnsi" w:eastAsiaTheme="minorHAnsi" w:hAnsiTheme="minorHAnsi" w:cstheme="minorBidi"/>
          <w:b w:val="0"/>
          <w:bCs w:val="0"/>
          <w:color w:val="auto"/>
          <w:sz w:val="22"/>
          <w:szCs w:val="22"/>
          <w:lang w:val="hr-HR" w:eastAsia="en-US"/>
        </w:rPr>
        <w:id w:val="-814332695"/>
        <w:docPartObj>
          <w:docPartGallery w:val="Table of Contents"/>
          <w:docPartUnique/>
        </w:docPartObj>
      </w:sdtPr>
      <w:sdtEndPr/>
      <w:sdtContent>
        <w:p w:rsidR="00C93283" w:rsidRPr="00F70B2A" w:rsidRDefault="00C93283">
          <w:pPr>
            <w:pStyle w:val="TOCHeading"/>
            <w:rPr>
              <w:lang w:val="hr-HR"/>
            </w:rPr>
          </w:pPr>
        </w:p>
        <w:p w:rsidR="00F61501" w:rsidRDefault="00C93283">
          <w:pPr>
            <w:pStyle w:val="TOC1"/>
            <w:rPr>
              <w:rFonts w:eastAsiaTheme="minorEastAsia"/>
              <w:noProof/>
              <w:lang w:val="hr-HR" w:eastAsia="hr-HR"/>
            </w:rPr>
          </w:pPr>
          <w:r w:rsidRPr="00F70B2A">
            <w:rPr>
              <w:lang w:val="hr-HR"/>
            </w:rPr>
            <w:fldChar w:fldCharType="begin"/>
          </w:r>
          <w:r w:rsidRPr="00F70B2A">
            <w:rPr>
              <w:lang w:val="hr-HR"/>
            </w:rPr>
            <w:instrText xml:space="preserve"> TOC \o "1-3" \h \z \u </w:instrText>
          </w:r>
          <w:r w:rsidRPr="00F70B2A">
            <w:rPr>
              <w:lang w:val="hr-HR"/>
            </w:rPr>
            <w:fldChar w:fldCharType="separate"/>
          </w:r>
          <w:hyperlink w:anchor="_Toc54858234" w:history="1">
            <w:r w:rsidR="00F61501" w:rsidRPr="007F4BE6">
              <w:rPr>
                <w:rStyle w:val="Hyperlink"/>
                <w:noProof/>
                <w:lang w:val="hr-HR"/>
              </w:rPr>
              <w:t>1.</w:t>
            </w:r>
            <w:r w:rsidR="00F61501">
              <w:rPr>
                <w:rFonts w:eastAsiaTheme="minorEastAsia"/>
                <w:noProof/>
                <w:lang w:val="hr-HR" w:eastAsia="hr-HR"/>
              </w:rPr>
              <w:tab/>
            </w:r>
            <w:r w:rsidR="00F61501" w:rsidRPr="007F4BE6">
              <w:rPr>
                <w:rStyle w:val="Hyperlink"/>
                <w:noProof/>
                <w:lang w:val="hr-HR"/>
              </w:rPr>
              <w:t>UVOD</w:t>
            </w:r>
            <w:r w:rsidR="00F61501">
              <w:rPr>
                <w:noProof/>
                <w:webHidden/>
              </w:rPr>
              <w:tab/>
            </w:r>
            <w:r w:rsidR="00F61501">
              <w:rPr>
                <w:noProof/>
                <w:webHidden/>
              </w:rPr>
              <w:fldChar w:fldCharType="begin"/>
            </w:r>
            <w:r w:rsidR="00F61501">
              <w:rPr>
                <w:noProof/>
                <w:webHidden/>
              </w:rPr>
              <w:instrText xml:space="preserve"> PAGEREF _Toc54858234 \h </w:instrText>
            </w:r>
            <w:r w:rsidR="00F61501">
              <w:rPr>
                <w:noProof/>
                <w:webHidden/>
              </w:rPr>
            </w:r>
            <w:r w:rsidR="00F61501">
              <w:rPr>
                <w:noProof/>
                <w:webHidden/>
              </w:rPr>
              <w:fldChar w:fldCharType="separate"/>
            </w:r>
            <w:r w:rsidR="00B5313A">
              <w:rPr>
                <w:noProof/>
                <w:webHidden/>
              </w:rPr>
              <w:t>3</w:t>
            </w:r>
            <w:r w:rsidR="00F61501">
              <w:rPr>
                <w:noProof/>
                <w:webHidden/>
              </w:rPr>
              <w:fldChar w:fldCharType="end"/>
            </w:r>
          </w:hyperlink>
        </w:p>
        <w:p w:rsidR="00F61501" w:rsidRDefault="00453111">
          <w:pPr>
            <w:pStyle w:val="TOC1"/>
            <w:rPr>
              <w:rFonts w:eastAsiaTheme="minorEastAsia"/>
              <w:noProof/>
              <w:lang w:val="hr-HR" w:eastAsia="hr-HR"/>
            </w:rPr>
          </w:pPr>
          <w:hyperlink w:anchor="_Toc54858235" w:history="1">
            <w:r w:rsidR="00F61501" w:rsidRPr="007F4BE6">
              <w:rPr>
                <w:rStyle w:val="Hyperlink"/>
                <w:noProof/>
                <w:lang w:val="hr-HR"/>
              </w:rPr>
              <w:t>2.</w:t>
            </w:r>
            <w:r w:rsidR="00F61501">
              <w:rPr>
                <w:rFonts w:eastAsiaTheme="minorEastAsia"/>
                <w:noProof/>
                <w:lang w:val="hr-HR" w:eastAsia="hr-HR"/>
              </w:rPr>
              <w:tab/>
            </w:r>
            <w:r w:rsidR="00F61501" w:rsidRPr="007F4BE6">
              <w:rPr>
                <w:rStyle w:val="Hyperlink"/>
                <w:noProof/>
                <w:lang w:val="hr-HR"/>
              </w:rPr>
              <w:t>MAKROEKONOMSKI OKVIR</w:t>
            </w:r>
            <w:r w:rsidR="00F61501">
              <w:rPr>
                <w:noProof/>
                <w:webHidden/>
              </w:rPr>
              <w:tab/>
            </w:r>
            <w:r w:rsidR="00F61501">
              <w:rPr>
                <w:noProof/>
                <w:webHidden/>
              </w:rPr>
              <w:fldChar w:fldCharType="begin"/>
            </w:r>
            <w:r w:rsidR="00F61501">
              <w:rPr>
                <w:noProof/>
                <w:webHidden/>
              </w:rPr>
              <w:instrText xml:space="preserve"> PAGEREF _Toc54858235 \h </w:instrText>
            </w:r>
            <w:r w:rsidR="00F61501">
              <w:rPr>
                <w:noProof/>
                <w:webHidden/>
              </w:rPr>
            </w:r>
            <w:r w:rsidR="00F61501">
              <w:rPr>
                <w:noProof/>
                <w:webHidden/>
              </w:rPr>
              <w:fldChar w:fldCharType="separate"/>
            </w:r>
            <w:r w:rsidR="00B5313A">
              <w:rPr>
                <w:noProof/>
                <w:webHidden/>
              </w:rPr>
              <w:t>4</w:t>
            </w:r>
            <w:r w:rsidR="00F61501">
              <w:rPr>
                <w:noProof/>
                <w:webHidden/>
              </w:rPr>
              <w:fldChar w:fldCharType="end"/>
            </w:r>
          </w:hyperlink>
        </w:p>
        <w:p w:rsidR="00F61501" w:rsidRDefault="00453111">
          <w:pPr>
            <w:pStyle w:val="TOC1"/>
            <w:rPr>
              <w:rFonts w:eastAsiaTheme="minorEastAsia"/>
              <w:noProof/>
              <w:lang w:val="hr-HR" w:eastAsia="hr-HR"/>
            </w:rPr>
          </w:pPr>
          <w:hyperlink w:anchor="_Toc54858236" w:history="1">
            <w:r w:rsidR="00F61501" w:rsidRPr="007F4BE6">
              <w:rPr>
                <w:rStyle w:val="Hyperlink"/>
                <w:noProof/>
                <w:lang w:val="hr-HR"/>
              </w:rPr>
              <w:t>2.</w:t>
            </w:r>
            <w:r w:rsidR="00F61501">
              <w:rPr>
                <w:rFonts w:eastAsiaTheme="minorEastAsia"/>
                <w:noProof/>
                <w:lang w:val="hr-HR" w:eastAsia="hr-HR"/>
              </w:rPr>
              <w:tab/>
            </w:r>
            <w:r w:rsidR="00F61501" w:rsidRPr="007F4BE6">
              <w:rPr>
                <w:rStyle w:val="Hyperlink"/>
                <w:noProof/>
                <w:lang w:val="hr-HR"/>
              </w:rPr>
              <w:t>PRIHODI DRŽAVNOG PRORAČUNA</w:t>
            </w:r>
            <w:r w:rsidR="00F61501">
              <w:rPr>
                <w:noProof/>
                <w:webHidden/>
              </w:rPr>
              <w:tab/>
            </w:r>
            <w:r w:rsidR="00F61501">
              <w:rPr>
                <w:noProof/>
                <w:webHidden/>
              </w:rPr>
              <w:fldChar w:fldCharType="begin"/>
            </w:r>
            <w:r w:rsidR="00F61501">
              <w:rPr>
                <w:noProof/>
                <w:webHidden/>
              </w:rPr>
              <w:instrText xml:space="preserve"> PAGEREF _Toc54858236 \h </w:instrText>
            </w:r>
            <w:r w:rsidR="00F61501">
              <w:rPr>
                <w:noProof/>
                <w:webHidden/>
              </w:rPr>
            </w:r>
            <w:r w:rsidR="00F61501">
              <w:rPr>
                <w:noProof/>
                <w:webHidden/>
              </w:rPr>
              <w:fldChar w:fldCharType="separate"/>
            </w:r>
            <w:r w:rsidR="00B5313A">
              <w:rPr>
                <w:noProof/>
                <w:webHidden/>
              </w:rPr>
              <w:t>9</w:t>
            </w:r>
            <w:r w:rsidR="00F61501">
              <w:rPr>
                <w:noProof/>
                <w:webHidden/>
              </w:rPr>
              <w:fldChar w:fldCharType="end"/>
            </w:r>
          </w:hyperlink>
        </w:p>
        <w:p w:rsidR="00F61501" w:rsidRDefault="00453111">
          <w:pPr>
            <w:pStyle w:val="TOC1"/>
            <w:rPr>
              <w:rFonts w:eastAsiaTheme="minorEastAsia"/>
              <w:noProof/>
              <w:lang w:val="hr-HR" w:eastAsia="hr-HR"/>
            </w:rPr>
          </w:pPr>
          <w:hyperlink w:anchor="_Toc54858237" w:history="1">
            <w:r w:rsidR="00F61501" w:rsidRPr="007F4BE6">
              <w:rPr>
                <w:rStyle w:val="Hyperlink"/>
                <w:noProof/>
                <w:lang w:val="hr-HR"/>
              </w:rPr>
              <w:t>3.</w:t>
            </w:r>
            <w:r w:rsidR="00F61501">
              <w:rPr>
                <w:rFonts w:eastAsiaTheme="minorEastAsia"/>
                <w:noProof/>
                <w:lang w:val="hr-HR" w:eastAsia="hr-HR"/>
              </w:rPr>
              <w:tab/>
            </w:r>
            <w:r w:rsidR="00F61501" w:rsidRPr="007F4BE6">
              <w:rPr>
                <w:rStyle w:val="Hyperlink"/>
                <w:noProof/>
                <w:lang w:val="hr-HR"/>
              </w:rPr>
              <w:t>RASHODI DRŽAVNOG PRORAČUNA</w:t>
            </w:r>
            <w:r w:rsidR="00F61501">
              <w:rPr>
                <w:noProof/>
                <w:webHidden/>
              </w:rPr>
              <w:tab/>
            </w:r>
            <w:r w:rsidR="00F61501">
              <w:rPr>
                <w:noProof/>
                <w:webHidden/>
              </w:rPr>
              <w:fldChar w:fldCharType="begin"/>
            </w:r>
            <w:r w:rsidR="00F61501">
              <w:rPr>
                <w:noProof/>
                <w:webHidden/>
              </w:rPr>
              <w:instrText xml:space="preserve"> PAGEREF _Toc54858237 \h </w:instrText>
            </w:r>
            <w:r w:rsidR="00F61501">
              <w:rPr>
                <w:noProof/>
                <w:webHidden/>
              </w:rPr>
            </w:r>
            <w:r w:rsidR="00F61501">
              <w:rPr>
                <w:noProof/>
                <w:webHidden/>
              </w:rPr>
              <w:fldChar w:fldCharType="separate"/>
            </w:r>
            <w:r w:rsidR="00B5313A">
              <w:rPr>
                <w:noProof/>
                <w:webHidden/>
              </w:rPr>
              <w:t>14</w:t>
            </w:r>
            <w:r w:rsidR="00F61501">
              <w:rPr>
                <w:noProof/>
                <w:webHidden/>
              </w:rPr>
              <w:fldChar w:fldCharType="end"/>
            </w:r>
          </w:hyperlink>
        </w:p>
        <w:p w:rsidR="00F61501" w:rsidRDefault="00453111">
          <w:pPr>
            <w:pStyle w:val="TOC2"/>
            <w:tabs>
              <w:tab w:val="left" w:pos="880"/>
              <w:tab w:val="right" w:leader="dot" w:pos="9062"/>
            </w:tabs>
            <w:rPr>
              <w:rFonts w:eastAsiaTheme="minorEastAsia"/>
              <w:noProof/>
              <w:lang w:val="hr-HR" w:eastAsia="hr-HR"/>
            </w:rPr>
          </w:pPr>
          <w:hyperlink w:anchor="_Toc54858238" w:history="1">
            <w:r w:rsidR="00F61501" w:rsidRPr="007F4BE6">
              <w:rPr>
                <w:rStyle w:val="Hyperlink"/>
                <w:noProof/>
                <w:lang w:val="hr-HR"/>
              </w:rPr>
              <w:t>4.1.</w:t>
            </w:r>
            <w:r w:rsidR="00F61501">
              <w:rPr>
                <w:rFonts w:eastAsiaTheme="minorEastAsia"/>
                <w:noProof/>
                <w:lang w:val="hr-HR" w:eastAsia="hr-HR"/>
              </w:rPr>
              <w:tab/>
            </w:r>
            <w:r w:rsidR="00F61501" w:rsidRPr="007F4BE6">
              <w:rPr>
                <w:rStyle w:val="Hyperlink"/>
                <w:noProof/>
                <w:lang w:val="hr-HR"/>
              </w:rPr>
              <w:t>Obrazloženje rashoda po ekonomskoj klasifikaciji</w:t>
            </w:r>
            <w:r w:rsidR="00F61501">
              <w:rPr>
                <w:noProof/>
                <w:webHidden/>
              </w:rPr>
              <w:tab/>
            </w:r>
            <w:r w:rsidR="00F61501">
              <w:rPr>
                <w:noProof/>
                <w:webHidden/>
              </w:rPr>
              <w:fldChar w:fldCharType="begin"/>
            </w:r>
            <w:r w:rsidR="00F61501">
              <w:rPr>
                <w:noProof/>
                <w:webHidden/>
              </w:rPr>
              <w:instrText xml:space="preserve"> PAGEREF _Toc54858238 \h </w:instrText>
            </w:r>
            <w:r w:rsidR="00F61501">
              <w:rPr>
                <w:noProof/>
                <w:webHidden/>
              </w:rPr>
            </w:r>
            <w:r w:rsidR="00F61501">
              <w:rPr>
                <w:noProof/>
                <w:webHidden/>
              </w:rPr>
              <w:fldChar w:fldCharType="separate"/>
            </w:r>
            <w:r w:rsidR="00B5313A">
              <w:rPr>
                <w:noProof/>
                <w:webHidden/>
              </w:rPr>
              <w:t>18</w:t>
            </w:r>
            <w:r w:rsidR="00F61501">
              <w:rPr>
                <w:noProof/>
                <w:webHidden/>
              </w:rPr>
              <w:fldChar w:fldCharType="end"/>
            </w:r>
          </w:hyperlink>
        </w:p>
        <w:p w:rsidR="00F61501" w:rsidRDefault="00453111">
          <w:pPr>
            <w:pStyle w:val="TOC2"/>
            <w:tabs>
              <w:tab w:val="left" w:pos="880"/>
              <w:tab w:val="right" w:leader="dot" w:pos="9062"/>
            </w:tabs>
            <w:rPr>
              <w:rFonts w:eastAsiaTheme="minorEastAsia"/>
              <w:noProof/>
              <w:lang w:val="hr-HR" w:eastAsia="hr-HR"/>
            </w:rPr>
          </w:pPr>
          <w:hyperlink w:anchor="_Toc54858239" w:history="1">
            <w:r w:rsidR="00F61501" w:rsidRPr="007F4BE6">
              <w:rPr>
                <w:rStyle w:val="Hyperlink"/>
                <w:noProof/>
                <w:lang w:val="hr-HR"/>
              </w:rPr>
              <w:t>4.2.</w:t>
            </w:r>
            <w:r w:rsidR="00F61501">
              <w:rPr>
                <w:rFonts w:eastAsiaTheme="minorEastAsia"/>
                <w:noProof/>
                <w:lang w:val="hr-HR" w:eastAsia="hr-HR"/>
              </w:rPr>
              <w:tab/>
            </w:r>
            <w:r w:rsidR="00F61501" w:rsidRPr="007F4BE6">
              <w:rPr>
                <w:rStyle w:val="Hyperlink"/>
                <w:noProof/>
                <w:lang w:val="hr-HR"/>
              </w:rPr>
              <w:t>Obrazloženje rashoda po funkcijskoj klasifikaciji</w:t>
            </w:r>
            <w:r w:rsidR="00F61501">
              <w:rPr>
                <w:noProof/>
                <w:webHidden/>
              </w:rPr>
              <w:tab/>
            </w:r>
            <w:r w:rsidR="00F61501">
              <w:rPr>
                <w:noProof/>
                <w:webHidden/>
              </w:rPr>
              <w:fldChar w:fldCharType="begin"/>
            </w:r>
            <w:r w:rsidR="00F61501">
              <w:rPr>
                <w:noProof/>
                <w:webHidden/>
              </w:rPr>
              <w:instrText xml:space="preserve"> PAGEREF _Toc54858239 \h </w:instrText>
            </w:r>
            <w:r w:rsidR="00F61501">
              <w:rPr>
                <w:noProof/>
                <w:webHidden/>
              </w:rPr>
            </w:r>
            <w:r w:rsidR="00F61501">
              <w:rPr>
                <w:noProof/>
                <w:webHidden/>
              </w:rPr>
              <w:fldChar w:fldCharType="separate"/>
            </w:r>
            <w:r w:rsidR="00B5313A">
              <w:rPr>
                <w:noProof/>
                <w:webHidden/>
              </w:rPr>
              <w:t>21</w:t>
            </w:r>
            <w:r w:rsidR="00F61501">
              <w:rPr>
                <w:noProof/>
                <w:webHidden/>
              </w:rPr>
              <w:fldChar w:fldCharType="end"/>
            </w:r>
          </w:hyperlink>
        </w:p>
        <w:p w:rsidR="00F61501" w:rsidRDefault="00453111">
          <w:pPr>
            <w:pStyle w:val="TOC1"/>
            <w:rPr>
              <w:rFonts w:eastAsiaTheme="minorEastAsia"/>
              <w:noProof/>
              <w:lang w:val="hr-HR" w:eastAsia="hr-HR"/>
            </w:rPr>
          </w:pPr>
          <w:hyperlink w:anchor="_Toc54858240" w:history="1">
            <w:r w:rsidR="00F61501" w:rsidRPr="007F4BE6">
              <w:rPr>
                <w:rStyle w:val="Hyperlink"/>
                <w:noProof/>
                <w:lang w:val="hr-HR"/>
              </w:rPr>
              <w:t>4.</w:t>
            </w:r>
            <w:r w:rsidR="00F61501">
              <w:rPr>
                <w:rFonts w:eastAsiaTheme="minorEastAsia"/>
                <w:noProof/>
                <w:lang w:val="hr-HR" w:eastAsia="hr-HR"/>
              </w:rPr>
              <w:tab/>
            </w:r>
            <w:r w:rsidR="00F61501" w:rsidRPr="007F4BE6">
              <w:rPr>
                <w:rStyle w:val="Hyperlink"/>
                <w:noProof/>
                <w:lang w:val="hr-HR"/>
              </w:rPr>
              <w:t>UKUPNI MANJAK/VIŠAK DRŽAVNOG PRORAČUNA</w:t>
            </w:r>
            <w:r w:rsidR="00F61501">
              <w:rPr>
                <w:noProof/>
                <w:webHidden/>
              </w:rPr>
              <w:tab/>
            </w:r>
            <w:r w:rsidR="00F61501">
              <w:rPr>
                <w:noProof/>
                <w:webHidden/>
              </w:rPr>
              <w:fldChar w:fldCharType="begin"/>
            </w:r>
            <w:r w:rsidR="00F61501">
              <w:rPr>
                <w:noProof/>
                <w:webHidden/>
              </w:rPr>
              <w:instrText xml:space="preserve"> PAGEREF _Toc54858240 \h </w:instrText>
            </w:r>
            <w:r w:rsidR="00F61501">
              <w:rPr>
                <w:noProof/>
                <w:webHidden/>
              </w:rPr>
            </w:r>
            <w:r w:rsidR="00F61501">
              <w:rPr>
                <w:noProof/>
                <w:webHidden/>
              </w:rPr>
              <w:fldChar w:fldCharType="separate"/>
            </w:r>
            <w:r w:rsidR="00B5313A">
              <w:rPr>
                <w:noProof/>
                <w:webHidden/>
              </w:rPr>
              <w:t>22</w:t>
            </w:r>
            <w:r w:rsidR="00F61501">
              <w:rPr>
                <w:noProof/>
                <w:webHidden/>
              </w:rPr>
              <w:fldChar w:fldCharType="end"/>
            </w:r>
          </w:hyperlink>
        </w:p>
        <w:p w:rsidR="00F61501" w:rsidRDefault="00453111">
          <w:pPr>
            <w:pStyle w:val="TOC1"/>
            <w:rPr>
              <w:rFonts w:eastAsiaTheme="minorEastAsia"/>
              <w:noProof/>
              <w:lang w:val="hr-HR" w:eastAsia="hr-HR"/>
            </w:rPr>
          </w:pPr>
          <w:hyperlink w:anchor="_Toc54858241" w:history="1">
            <w:r w:rsidR="00F61501" w:rsidRPr="007F4BE6">
              <w:rPr>
                <w:rStyle w:val="Hyperlink"/>
                <w:noProof/>
                <w:lang w:val="hr-HR"/>
              </w:rPr>
              <w:t>5.</w:t>
            </w:r>
            <w:r w:rsidR="00F61501">
              <w:rPr>
                <w:rFonts w:eastAsiaTheme="minorEastAsia"/>
                <w:noProof/>
                <w:lang w:val="hr-HR" w:eastAsia="hr-HR"/>
              </w:rPr>
              <w:tab/>
            </w:r>
            <w:r w:rsidR="00F61501" w:rsidRPr="007F4BE6">
              <w:rPr>
                <w:rStyle w:val="Hyperlink"/>
                <w:noProof/>
                <w:lang w:val="hr-HR"/>
              </w:rPr>
              <w:t>RAČUN FINANCIRANJA DRŽAVNOG PRORAČUNA</w:t>
            </w:r>
            <w:r w:rsidR="00F61501">
              <w:rPr>
                <w:noProof/>
                <w:webHidden/>
              </w:rPr>
              <w:tab/>
            </w:r>
            <w:r w:rsidR="00F61501">
              <w:rPr>
                <w:noProof/>
                <w:webHidden/>
              </w:rPr>
              <w:fldChar w:fldCharType="begin"/>
            </w:r>
            <w:r w:rsidR="00F61501">
              <w:rPr>
                <w:noProof/>
                <w:webHidden/>
              </w:rPr>
              <w:instrText xml:space="preserve"> PAGEREF _Toc54858241 \h </w:instrText>
            </w:r>
            <w:r w:rsidR="00F61501">
              <w:rPr>
                <w:noProof/>
                <w:webHidden/>
              </w:rPr>
            </w:r>
            <w:r w:rsidR="00F61501">
              <w:rPr>
                <w:noProof/>
                <w:webHidden/>
              </w:rPr>
              <w:fldChar w:fldCharType="separate"/>
            </w:r>
            <w:r w:rsidR="00B5313A">
              <w:rPr>
                <w:noProof/>
                <w:webHidden/>
              </w:rPr>
              <w:t>23</w:t>
            </w:r>
            <w:r w:rsidR="00F61501">
              <w:rPr>
                <w:noProof/>
                <w:webHidden/>
              </w:rPr>
              <w:fldChar w:fldCharType="end"/>
            </w:r>
          </w:hyperlink>
        </w:p>
        <w:p w:rsidR="00F61501" w:rsidRDefault="00453111">
          <w:pPr>
            <w:pStyle w:val="TOC1"/>
            <w:rPr>
              <w:rFonts w:eastAsiaTheme="minorEastAsia"/>
              <w:noProof/>
              <w:lang w:val="hr-HR" w:eastAsia="hr-HR"/>
            </w:rPr>
          </w:pPr>
          <w:hyperlink w:anchor="_Toc54858242" w:history="1">
            <w:r w:rsidR="00F61501" w:rsidRPr="007F4BE6">
              <w:rPr>
                <w:rStyle w:val="Hyperlink"/>
                <w:noProof/>
                <w:lang w:val="hr-HR"/>
              </w:rPr>
              <w:t>6.</w:t>
            </w:r>
            <w:r w:rsidR="00F61501">
              <w:rPr>
                <w:rFonts w:eastAsiaTheme="minorEastAsia"/>
                <w:noProof/>
                <w:lang w:val="hr-HR" w:eastAsia="hr-HR"/>
              </w:rPr>
              <w:tab/>
            </w:r>
            <w:r w:rsidR="00F61501" w:rsidRPr="007F4BE6">
              <w:rPr>
                <w:rStyle w:val="Hyperlink"/>
                <w:noProof/>
                <w:lang w:val="hr-HR"/>
              </w:rPr>
              <w:t>STANJE DOSPJELIH NEPODMIRENIH OBVEZA PRORAČUNSKIH KORISNIKA DRŽAVNOG PRORAČUNA</w:t>
            </w:r>
            <w:r w:rsidR="00F61501">
              <w:rPr>
                <w:noProof/>
                <w:webHidden/>
              </w:rPr>
              <w:tab/>
            </w:r>
            <w:r w:rsidR="00F61501">
              <w:rPr>
                <w:noProof/>
                <w:webHidden/>
              </w:rPr>
              <w:fldChar w:fldCharType="begin"/>
            </w:r>
            <w:r w:rsidR="00F61501">
              <w:rPr>
                <w:noProof/>
                <w:webHidden/>
              </w:rPr>
              <w:instrText xml:space="preserve"> PAGEREF _Toc54858242 \h </w:instrText>
            </w:r>
            <w:r w:rsidR="00F61501">
              <w:rPr>
                <w:noProof/>
                <w:webHidden/>
              </w:rPr>
            </w:r>
            <w:r w:rsidR="00F61501">
              <w:rPr>
                <w:noProof/>
                <w:webHidden/>
              </w:rPr>
              <w:fldChar w:fldCharType="separate"/>
            </w:r>
            <w:r w:rsidR="00B5313A">
              <w:rPr>
                <w:noProof/>
                <w:webHidden/>
              </w:rPr>
              <w:t>25</w:t>
            </w:r>
            <w:r w:rsidR="00F61501">
              <w:rPr>
                <w:noProof/>
                <w:webHidden/>
              </w:rPr>
              <w:fldChar w:fldCharType="end"/>
            </w:r>
          </w:hyperlink>
        </w:p>
        <w:p w:rsidR="00F61501" w:rsidRDefault="00453111">
          <w:pPr>
            <w:pStyle w:val="TOC1"/>
            <w:rPr>
              <w:rFonts w:eastAsiaTheme="minorEastAsia"/>
              <w:noProof/>
              <w:lang w:val="hr-HR" w:eastAsia="hr-HR"/>
            </w:rPr>
          </w:pPr>
          <w:hyperlink w:anchor="_Toc54858243" w:history="1">
            <w:r w:rsidR="00F61501" w:rsidRPr="007F4BE6">
              <w:rPr>
                <w:rStyle w:val="Hyperlink"/>
                <w:noProof/>
                <w:lang w:val="hr-HR"/>
              </w:rPr>
              <w:t>7.</w:t>
            </w:r>
            <w:r w:rsidR="00F61501">
              <w:rPr>
                <w:rFonts w:eastAsiaTheme="minorEastAsia"/>
                <w:noProof/>
                <w:lang w:val="hr-HR" w:eastAsia="hr-HR"/>
              </w:rPr>
              <w:tab/>
            </w:r>
            <w:r w:rsidR="00F61501" w:rsidRPr="007F4BE6">
              <w:rPr>
                <w:rStyle w:val="Hyperlink"/>
                <w:noProof/>
                <w:lang w:val="hr-HR"/>
              </w:rPr>
              <w:t>PROCJENA UKUPNOG MANJKA/VIŠKA OPĆE DRŽAVE</w:t>
            </w:r>
            <w:r w:rsidR="00F61501">
              <w:rPr>
                <w:noProof/>
                <w:webHidden/>
              </w:rPr>
              <w:tab/>
            </w:r>
            <w:r w:rsidR="00F61501">
              <w:rPr>
                <w:noProof/>
                <w:webHidden/>
              </w:rPr>
              <w:fldChar w:fldCharType="begin"/>
            </w:r>
            <w:r w:rsidR="00F61501">
              <w:rPr>
                <w:noProof/>
                <w:webHidden/>
              </w:rPr>
              <w:instrText xml:space="preserve"> PAGEREF _Toc54858243 \h </w:instrText>
            </w:r>
            <w:r w:rsidR="00F61501">
              <w:rPr>
                <w:noProof/>
                <w:webHidden/>
              </w:rPr>
            </w:r>
            <w:r w:rsidR="00F61501">
              <w:rPr>
                <w:noProof/>
                <w:webHidden/>
              </w:rPr>
              <w:fldChar w:fldCharType="separate"/>
            </w:r>
            <w:r w:rsidR="00B5313A">
              <w:rPr>
                <w:noProof/>
                <w:webHidden/>
              </w:rPr>
              <w:t>27</w:t>
            </w:r>
            <w:r w:rsidR="00F61501">
              <w:rPr>
                <w:noProof/>
                <w:webHidden/>
              </w:rPr>
              <w:fldChar w:fldCharType="end"/>
            </w:r>
          </w:hyperlink>
        </w:p>
        <w:p w:rsidR="00C93283" w:rsidRPr="00F70B2A" w:rsidRDefault="00C93283">
          <w:pPr>
            <w:rPr>
              <w:lang w:val="hr-HR"/>
            </w:rPr>
          </w:pPr>
          <w:r w:rsidRPr="00F70B2A">
            <w:rPr>
              <w:b/>
              <w:bCs/>
              <w:lang w:val="hr-HR"/>
            </w:rPr>
            <w:fldChar w:fldCharType="end"/>
          </w:r>
        </w:p>
      </w:sdtContent>
    </w:sdt>
    <w:p w:rsidR="00695821" w:rsidRPr="00F70B2A" w:rsidRDefault="00695821" w:rsidP="00695821">
      <w:pPr>
        <w:rPr>
          <w:lang w:val="hr-HR"/>
        </w:rPr>
      </w:pPr>
    </w:p>
    <w:p w:rsidR="00680042" w:rsidRPr="00F70B2A" w:rsidRDefault="00680042" w:rsidP="00695821">
      <w:pPr>
        <w:rPr>
          <w:lang w:val="hr-HR"/>
        </w:rPr>
      </w:pPr>
    </w:p>
    <w:p w:rsidR="00695821" w:rsidRPr="00F70B2A" w:rsidRDefault="00695821" w:rsidP="00695821">
      <w:pPr>
        <w:rPr>
          <w:lang w:val="hr-HR"/>
        </w:rPr>
      </w:pPr>
      <w:r w:rsidRPr="00F70B2A">
        <w:rPr>
          <w:lang w:val="hr-HR"/>
        </w:rPr>
        <w:br w:type="page"/>
      </w:r>
    </w:p>
    <w:p w:rsidR="00695821" w:rsidRPr="00F70B2A" w:rsidRDefault="00695821" w:rsidP="00695821">
      <w:pPr>
        <w:pStyle w:val="Heading1"/>
        <w:numPr>
          <w:ilvl w:val="0"/>
          <w:numId w:val="2"/>
        </w:numPr>
        <w:rPr>
          <w:lang w:val="hr-HR"/>
        </w:rPr>
      </w:pPr>
      <w:bookmarkStart w:id="0" w:name="_Toc54858234"/>
      <w:r w:rsidRPr="00F70B2A">
        <w:rPr>
          <w:lang w:val="hr-HR"/>
        </w:rPr>
        <w:t>UVOD</w:t>
      </w:r>
      <w:bookmarkEnd w:id="0"/>
    </w:p>
    <w:p w:rsidR="007B57C6" w:rsidRPr="007B57C6" w:rsidRDefault="007B57C6" w:rsidP="007B57C6">
      <w:pPr>
        <w:spacing w:before="240"/>
        <w:jc w:val="both"/>
        <w:rPr>
          <w:lang w:val="hr-HR"/>
        </w:rPr>
      </w:pPr>
      <w:r>
        <w:rPr>
          <w:lang w:val="hr-HR"/>
        </w:rPr>
        <w:t>N</w:t>
      </w:r>
      <w:r w:rsidRPr="007B57C6">
        <w:rPr>
          <w:lang w:val="hr-HR"/>
        </w:rPr>
        <w:t xml:space="preserve">akon pada BDP-a u 2020. godini od 8,0%, u srednjoročnom razdoblju u domaćem gospodarstvu predviđa se postupni oporavak ekonomske aktivnosti. U 2021. očekuje se realni rast BDP-a od 5,0%, kojega će pratiti rast od 3,4% u 2022. te 3,1% u 2023. godini. U ovoj godini očekuje se izražen negativan doprinos gospodarskom rastu kako od strane domaće potražnje, tako i od neto inozemne potražnje. Kao i u proteklim godinama, u ostatku projekcijskog razdoblja rast BDP-a će se temeljiti na doprinosu domaće potražnje, dok se od strane neto inozemne potražnje očekuje blago pozitivan doprinos u 2021. koji će se zatim smanjivati prema neznatnom negativnom iznosu na kraju razdoblja. U 2021. godini očekuje se ubrzanje inflacije na 0,8%, prvenstveno kao posljedica povećanja cijene energije u uvjetima oporavka cijena nafte na svjetskim tržištima dok će se u ostatku projekcijskog razdoblja inflacija zadržati na relativno niskim razinama. U iduće tri godine očekuje se oporavak zaposlenosti po stopi od 0,7% u 2021. te nešto snažniji rast zaposlenosti od 1,4% u 2022. i 2023. </w:t>
      </w:r>
    </w:p>
    <w:p w:rsidR="00DF07D3" w:rsidRDefault="007B57C6" w:rsidP="007B57C6">
      <w:pPr>
        <w:spacing w:before="240"/>
        <w:jc w:val="both"/>
        <w:rPr>
          <w:lang w:val="hr-HR"/>
        </w:rPr>
      </w:pPr>
      <w:r w:rsidRPr="007B57C6">
        <w:rPr>
          <w:lang w:val="hr-HR"/>
        </w:rPr>
        <w:t>Prihodna strana proračuna određena je očekivanim oporavkom gospodarske aktivnosti, uzimajući u obzir fiskalne učinke najavljenih poreznih izmjena u o</w:t>
      </w:r>
      <w:r>
        <w:rPr>
          <w:lang w:val="hr-HR"/>
        </w:rPr>
        <w:t xml:space="preserve">kviru sustava poreza na dobit, </w:t>
      </w:r>
      <w:r w:rsidRPr="007B57C6">
        <w:rPr>
          <w:lang w:val="hr-HR"/>
        </w:rPr>
        <w:t>poreza na dohodak</w:t>
      </w:r>
      <w:r>
        <w:rPr>
          <w:lang w:val="hr-HR"/>
        </w:rPr>
        <w:t xml:space="preserve"> te poreza na dodanu vrijednost</w:t>
      </w:r>
      <w:r w:rsidRPr="007B57C6">
        <w:rPr>
          <w:lang w:val="hr-HR"/>
        </w:rPr>
        <w:t>. Značajan učinak na prihode proračuna imat će i povlačenje sredstva iz EU fondova, ponajprije iz tekućeg Višegodišnjeg financijskog okvira 2014.- 2020., ali se predviđaju i nova sredstva iz Višegodišnjeg financijskog okvira 2021. – 2027. Nadalje, u fiskalne projekcije uključeno je i korištenje sredstava iz novog instrumenta EU Nove generacije, koja će se usmjeriti za pomoć u likvidnosti gospodarstvu, za očuvanje i potporu otvaranju radnih mjesta te za jačanje oporavka i otpornosti gospodarstva</w:t>
      </w:r>
      <w:r w:rsidR="00DF7D2A">
        <w:rPr>
          <w:lang w:val="hr-HR"/>
        </w:rPr>
        <w:t xml:space="preserve"> </w:t>
      </w:r>
      <w:r w:rsidR="00DF7D2A">
        <w:rPr>
          <w:rFonts w:ascii="Calibri" w:hAnsi="Calibri"/>
          <w:lang w:val="hr-HR"/>
        </w:rPr>
        <w:t>kroz razvojne, strateške i reformske projekte</w:t>
      </w:r>
      <w:r w:rsidRPr="007B57C6">
        <w:rPr>
          <w:lang w:val="hr-HR"/>
        </w:rPr>
        <w:t>, za što je predviđeno gotovo 6 milijardi eura bespovratnih sredstava do kraja 2026. godine</w:t>
      </w:r>
      <w:r w:rsidR="00DF7D2A">
        <w:rPr>
          <w:lang w:val="hr-HR"/>
        </w:rPr>
        <w:t xml:space="preserve"> te 3,6 milijardi eura zajmova</w:t>
      </w:r>
      <w:r w:rsidRPr="007B57C6">
        <w:rPr>
          <w:lang w:val="hr-HR"/>
        </w:rPr>
        <w:t xml:space="preserve">. </w:t>
      </w:r>
      <w:r w:rsidR="00DF7D2A">
        <w:rPr>
          <w:lang w:val="hr-HR"/>
        </w:rPr>
        <w:t xml:space="preserve">To će, </w:t>
      </w:r>
      <w:r w:rsidR="00DF7D2A" w:rsidRPr="00DF7D2A">
        <w:rPr>
          <w:lang w:val="sr-Latn-RS"/>
        </w:rPr>
        <w:t xml:space="preserve">uz održive </w:t>
      </w:r>
      <w:r w:rsidR="00DF7D2A" w:rsidRPr="00DF7D2A">
        <w:rPr>
          <w:lang w:val="hr-HR"/>
        </w:rPr>
        <w:t>javne financije</w:t>
      </w:r>
      <w:r w:rsidR="00DF7D2A" w:rsidRPr="00DF7D2A">
        <w:rPr>
          <w:lang w:val="sr-Latn-RS"/>
        </w:rPr>
        <w:t xml:space="preserve"> omogućiti brzi oporavak ekonomije.</w:t>
      </w:r>
      <w:r w:rsidR="00DF7D2A" w:rsidRPr="00DF7D2A">
        <w:rPr>
          <w:lang w:val="hr-HR"/>
        </w:rPr>
        <w:t xml:space="preserve"> </w:t>
      </w:r>
    </w:p>
    <w:p w:rsidR="007B57C6" w:rsidRPr="007B57C6" w:rsidRDefault="007B57C6" w:rsidP="007B57C6">
      <w:pPr>
        <w:spacing w:before="240"/>
        <w:jc w:val="both"/>
        <w:rPr>
          <w:lang w:val="hr-HR"/>
        </w:rPr>
      </w:pPr>
      <w:r w:rsidRPr="00DF07D3">
        <w:rPr>
          <w:lang w:val="hr-HR"/>
        </w:rPr>
        <w:t>Rashodna strana proračuna usmjerena je na provođenje aktivnosti u svrhu oporavka i jačanja konkurentnosti i otpornosti gospodarstva, uz osiguravanje primjerene zaštite svih slojeva stanovništva. Za sanaciju šteta uzrokovanih potresom, već u 2021. godini, predviđena su značajna sredstva, kako iz nacionalnih izvora financiranja, tako i iz Fonda solidarnosti EU. Vodeći računa o fiskalnoj stabilnosti, ali i osiguranju odgovarajućeg životnog standarda za građane RH, osigurana su dodatna sredstva za adekvatniji sustav socijalnih naknada, ponajprije za status roditelja njegovatelja i njegovatelja osobe s invaliditetom. Isto tako predviđena su i sredstva za provedbu Zakona o nacionalnoj naknadi za starije osobe, ali i za povećana prava na roditeljski dopust za zaposlene i samozaposlene roditelje. Također, s ciljem osiguravanja fiskalne održivosti lokalnih jedinica, na rashodnoj strani predviđena su i dodatna izdvajanja za pomoć jedinicama lokalne i područne (regionalne) samouprave uslijed planiranih izmjena poreznih propisa koji imaju izravni utjecaj na prihode tih jedinica.</w:t>
      </w:r>
      <w:r w:rsidRPr="007B57C6">
        <w:rPr>
          <w:lang w:val="hr-HR"/>
        </w:rPr>
        <w:t xml:space="preserve"> </w:t>
      </w:r>
    </w:p>
    <w:p w:rsidR="00D27552" w:rsidRPr="00F70B2A" w:rsidRDefault="007B57C6" w:rsidP="005B307D">
      <w:pPr>
        <w:spacing w:before="240"/>
        <w:jc w:val="both"/>
        <w:rPr>
          <w:lang w:val="hr-HR"/>
        </w:rPr>
      </w:pPr>
      <w:r w:rsidRPr="007B57C6">
        <w:rPr>
          <w:lang w:val="hr-HR"/>
        </w:rPr>
        <w:t xml:space="preserve">Opisani smjer fiskalnih kretanja kako na prihodnoj tako i na rashodnoj strani proračuna rezultirat će manjkom općeg proračuna prema metodologiji ESA 2010 u iznosu od 2,9% BDP-a u 2021. godini. U 2022. ponovno se predviđa manjak od 2,1% BDP-a, dok će manjak u 2023. iznositi 1,6% BDP-a. </w:t>
      </w:r>
      <w:r w:rsidR="00DF7D2A" w:rsidRPr="00DF7D2A">
        <w:rPr>
          <w:lang w:val="hr-HR"/>
        </w:rPr>
        <w:t xml:space="preserve">Nakon snažnog rasta javnog duga u 2020. godini na 87,3% BDP-a, u skladu s kretanjem salda proračuna opće države očekuje se smanjenje udjela javnog duga u BDP-u po prosječnoj stopi od 2 postotna boda u nadolazećem trogodišnjem razdoblju, odnosno s 85,3% BDP-a u 2021. na 83,4% BDP-a u 2022. te 81,2% BDP-a u 2023. godini. </w:t>
      </w:r>
      <w:r w:rsidRPr="007B57C6">
        <w:rPr>
          <w:lang w:val="hr-HR"/>
        </w:rPr>
        <w:t>Ovakva kretanja ukazuju da će RH u promatranom razdoblju ispuniti fiskalne kriterije konvergencije čime se stvaraju preduvjeti za ulazak u europodručje.</w:t>
      </w:r>
      <w:r w:rsidR="00D27552" w:rsidRPr="00F70B2A">
        <w:rPr>
          <w:lang w:val="hr-HR"/>
        </w:rPr>
        <w:br w:type="page"/>
      </w:r>
    </w:p>
    <w:p w:rsidR="00695821" w:rsidRPr="00F70B2A" w:rsidRDefault="00695821" w:rsidP="00695821">
      <w:pPr>
        <w:pStyle w:val="Heading1"/>
        <w:numPr>
          <w:ilvl w:val="0"/>
          <w:numId w:val="2"/>
        </w:numPr>
        <w:rPr>
          <w:lang w:val="hr-HR"/>
        </w:rPr>
      </w:pPr>
      <w:bookmarkStart w:id="1" w:name="_Toc54858235"/>
      <w:r w:rsidRPr="00F70B2A">
        <w:rPr>
          <w:lang w:val="hr-HR"/>
        </w:rPr>
        <w:t>MAKROEKONOMSKI OKVIR</w:t>
      </w:r>
      <w:bookmarkEnd w:id="1"/>
    </w:p>
    <w:p w:rsidR="00695821" w:rsidRDefault="00695821" w:rsidP="00695821">
      <w:pPr>
        <w:rPr>
          <w:lang w:val="hr-HR"/>
        </w:rPr>
      </w:pPr>
    </w:p>
    <w:p w:rsidR="00F048AB" w:rsidRPr="005C241E" w:rsidRDefault="00F048AB" w:rsidP="00F048AB">
      <w:pPr>
        <w:spacing w:afterLines="120" w:after="288"/>
        <w:jc w:val="both"/>
        <w:rPr>
          <w:rFonts w:cs="Times New Roman"/>
          <w:lang w:val="hr-HR"/>
        </w:rPr>
      </w:pPr>
      <w:r w:rsidRPr="00C10A52">
        <w:rPr>
          <w:rFonts w:cs="Times New Roman"/>
          <w:lang w:val="hr-HR"/>
        </w:rPr>
        <w:t>Makroekonomski okvir iz ovog dokumenta preuzet je iz Smjernica za izradu Državnog proračuna Republike Hrvatske za 2021. i projekcija za 2022. i 2023.</w:t>
      </w:r>
      <w:r w:rsidRPr="005C241E">
        <w:rPr>
          <w:rFonts w:cs="Times New Roman"/>
          <w:lang w:val="hr-HR"/>
        </w:rPr>
        <w:t xml:space="preserve"> </w:t>
      </w:r>
    </w:p>
    <w:p w:rsidR="00F048AB" w:rsidRPr="00EC1F06" w:rsidRDefault="00F048AB" w:rsidP="00F048AB">
      <w:pPr>
        <w:spacing w:afterLines="120" w:after="288"/>
        <w:jc w:val="both"/>
        <w:rPr>
          <w:rFonts w:cs="Times New Roman"/>
          <w:highlight w:val="yellow"/>
          <w:lang w:val="hr-HR"/>
        </w:rPr>
      </w:pPr>
      <w:r w:rsidRPr="005C241E">
        <w:rPr>
          <w:rFonts w:cs="Times New Roman"/>
          <w:lang w:val="hr-HR"/>
        </w:rPr>
        <w:t>Vanjske pretpostavke za izradu makroekonomskih projekcija preuzete su iz projekcija Europske središnje banke</w:t>
      </w:r>
      <w:r w:rsidRPr="005C241E">
        <w:rPr>
          <w:rStyle w:val="FootnoteReference"/>
          <w:rFonts w:cs="Times New Roman"/>
          <w:lang w:val="hr-HR"/>
        </w:rPr>
        <w:footnoteReference w:id="1"/>
      </w:r>
      <w:r w:rsidRPr="005C241E">
        <w:rPr>
          <w:rFonts w:cs="Times New Roman"/>
          <w:lang w:val="hr-HR"/>
        </w:rPr>
        <w:t>, Europske komisije</w:t>
      </w:r>
      <w:r w:rsidRPr="005C241E">
        <w:rPr>
          <w:rStyle w:val="FootnoteReference"/>
          <w:rFonts w:cs="Times New Roman"/>
          <w:lang w:val="hr-HR"/>
        </w:rPr>
        <w:footnoteReference w:id="2"/>
      </w:r>
      <w:r w:rsidRPr="005C241E">
        <w:rPr>
          <w:rFonts w:cs="Times New Roman"/>
          <w:lang w:val="hr-HR"/>
        </w:rPr>
        <w:t xml:space="preserve"> i EIU</w:t>
      </w:r>
      <w:r w:rsidRPr="005C241E">
        <w:rPr>
          <w:rStyle w:val="FootnoteReference"/>
          <w:rFonts w:cs="Times New Roman"/>
          <w:lang w:val="hr-HR"/>
        </w:rPr>
        <w:footnoteReference w:id="3"/>
      </w:r>
      <w:r w:rsidRPr="005C241E">
        <w:rPr>
          <w:rFonts w:cs="Times New Roman"/>
          <w:lang w:val="hr-HR"/>
        </w:rPr>
        <w:t>. Prema projekcijama međunarodnih instituci</w:t>
      </w:r>
      <w:r w:rsidR="005E5519">
        <w:rPr>
          <w:rFonts w:cs="Times New Roman"/>
          <w:lang w:val="hr-HR"/>
        </w:rPr>
        <w:t>ja, kao posljedica globalne pand</w:t>
      </w:r>
      <w:r w:rsidRPr="005C241E">
        <w:rPr>
          <w:rFonts w:cs="Times New Roman"/>
          <w:lang w:val="hr-HR"/>
        </w:rPr>
        <w:t>emije koronavirusa, u 2020. godini se očekuje znatno pogoršanje svjetskih gospodarskih kretanja. Pritom se, u odnosu na Program konvergencije RH iz travnja ove godine, u</w:t>
      </w:r>
      <w:r w:rsidRPr="00EC1F06">
        <w:rPr>
          <w:rFonts w:cs="Times New Roman"/>
          <w:lang w:val="hr-HR"/>
        </w:rPr>
        <w:t xml:space="preserve"> 2020. godini očekuje nešto izraženiji pad svjetskog gospodarstva, kao i gospodarstava eurozone. Tako se nakon rasta od 3,0% u 2019., u 2020. očekuje pad svjetskog gospodarstva od 3,7%, a potom rast od 6,2% u 2021. te 3,8% u 2022. godini. Osobito snažan pad ekonomske aktivnosti u 2020. godini od 8,0% očekuje se u gospodarstvu eurozone, nakon čega će u 2021. uslijediti oporavak po stopi od 5,0% te 3,2% u 2022. Nadalje, u 2020. se očekuje snažan pad svjetske trgovine od 11,2%, a potom rast od 6,8% i 4,0% u 2021. i 2022. Predviđa se da će prosječni tečaj eura prema američkom dolaru iznositi 1,14 USD/EUR u 2020. te 1,18 USD/EUR u 2021. i 2022. godini. Što se tiče kretanja cijena sirovina na svjetskom tržištu, očekuje se kako će cijene nafte zabilježiti snažno smanjenje u 2020. te postupni oporavak u 2021. i 2022</w:t>
      </w:r>
      <w:r>
        <w:rPr>
          <w:rFonts w:cs="Times New Roman"/>
          <w:lang w:val="hr-HR"/>
        </w:rPr>
        <w:t xml:space="preserve"> godini</w:t>
      </w:r>
      <w:r w:rsidRPr="00EC1F06">
        <w:rPr>
          <w:rFonts w:cs="Times New Roman"/>
          <w:lang w:val="hr-HR"/>
        </w:rPr>
        <w:t xml:space="preserve">. </w:t>
      </w:r>
    </w:p>
    <w:p w:rsidR="00F048AB" w:rsidRPr="00F70B2A" w:rsidRDefault="00F048AB" w:rsidP="00695821">
      <w:pPr>
        <w:rPr>
          <w:lang w:val="hr-HR"/>
        </w:rPr>
      </w:pPr>
    </w:p>
    <w:p w:rsidR="006A5CEF" w:rsidRPr="00F70B2A" w:rsidRDefault="00BF15C5" w:rsidP="006A5CEF">
      <w:pPr>
        <w:spacing w:before="240" w:after="120" w:line="240" w:lineRule="auto"/>
        <w:jc w:val="both"/>
        <w:rPr>
          <w:i/>
          <w:lang w:val="hr-HR"/>
        </w:rPr>
      </w:pPr>
      <w:bookmarkStart w:id="2" w:name="_Toc444156383"/>
      <w:bookmarkStart w:id="3" w:name="_Toc445241790"/>
      <w:r w:rsidRPr="006A5CEF">
        <w:rPr>
          <w:i/>
          <w:lang w:val="hr-HR"/>
        </w:rPr>
        <w:t xml:space="preserve">Tablica </w:t>
      </w:r>
      <w:r w:rsidRPr="006A5CEF">
        <w:rPr>
          <w:i/>
          <w:lang w:val="hr-HR"/>
        </w:rPr>
        <w:fldChar w:fldCharType="begin"/>
      </w:r>
      <w:r w:rsidRPr="006A5CEF">
        <w:rPr>
          <w:i/>
          <w:lang w:val="hr-HR"/>
        </w:rPr>
        <w:instrText xml:space="preserve"> SEQ Tablica \* ARABIC </w:instrText>
      </w:r>
      <w:r w:rsidRPr="006A5CEF">
        <w:rPr>
          <w:i/>
          <w:lang w:val="hr-HR"/>
        </w:rPr>
        <w:fldChar w:fldCharType="separate"/>
      </w:r>
      <w:r w:rsidR="00B5313A">
        <w:rPr>
          <w:i/>
          <w:noProof/>
          <w:lang w:val="hr-HR"/>
        </w:rPr>
        <w:t>1</w:t>
      </w:r>
      <w:r w:rsidRPr="006A5CEF">
        <w:rPr>
          <w:i/>
          <w:lang w:val="hr-HR"/>
        </w:rPr>
        <w:fldChar w:fldCharType="end"/>
      </w:r>
      <w:r w:rsidRPr="006A5CEF">
        <w:rPr>
          <w:i/>
          <w:lang w:val="hr-HR"/>
        </w:rPr>
        <w:t xml:space="preserve">. Projekcije makroekonomskih pokazatelja </w:t>
      </w:r>
      <w:r w:rsidR="001F479B" w:rsidRPr="006A5CEF">
        <w:rPr>
          <w:i/>
          <w:lang w:val="hr-HR"/>
        </w:rPr>
        <w:t>RH</w:t>
      </w:r>
    </w:p>
    <w:p w:rsidR="006A5CEF" w:rsidRDefault="00F048AB" w:rsidP="00456F59">
      <w:pPr>
        <w:spacing w:line="240" w:lineRule="auto"/>
        <w:rPr>
          <w:i/>
          <w:sz w:val="20"/>
          <w:lang w:val="hr-HR"/>
        </w:rPr>
      </w:pPr>
      <w:r w:rsidRPr="00F048AB">
        <w:rPr>
          <w:noProof/>
          <w:lang w:val="hr-HR" w:eastAsia="hr-HR"/>
        </w:rPr>
        <w:drawing>
          <wp:inline distT="0" distB="0" distL="0" distR="0">
            <wp:extent cx="5760720" cy="2701815"/>
            <wp:effectExtent l="0" t="0" r="0" b="381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701815"/>
                    </a:xfrm>
                    <a:prstGeom prst="rect">
                      <a:avLst/>
                    </a:prstGeom>
                    <a:noFill/>
                    <a:ln>
                      <a:noFill/>
                    </a:ln>
                  </pic:spPr>
                </pic:pic>
              </a:graphicData>
            </a:graphic>
          </wp:inline>
        </w:drawing>
      </w:r>
    </w:p>
    <w:p w:rsidR="0029489C" w:rsidRDefault="00BF15C5" w:rsidP="00456F59">
      <w:pPr>
        <w:spacing w:line="240" w:lineRule="auto"/>
        <w:rPr>
          <w:i/>
          <w:sz w:val="20"/>
          <w:lang w:val="hr-HR"/>
        </w:rPr>
      </w:pPr>
      <w:r w:rsidRPr="00F70B2A">
        <w:rPr>
          <w:i/>
          <w:sz w:val="20"/>
          <w:lang w:val="hr-HR"/>
        </w:rPr>
        <w:t xml:space="preserve">Izvor: Državni zavod za statistiku, Ministarstvo financija </w:t>
      </w:r>
    </w:p>
    <w:bookmarkEnd w:id="2"/>
    <w:bookmarkEnd w:id="3"/>
    <w:p w:rsidR="00F048AB" w:rsidRPr="00EC1F06" w:rsidRDefault="00F048AB" w:rsidP="00F048AB">
      <w:pPr>
        <w:spacing w:afterLines="120" w:after="288"/>
        <w:jc w:val="both"/>
        <w:rPr>
          <w:rFonts w:eastAsia="Calibri" w:cs="Times New Roman"/>
          <w:lang w:val="hr-HR"/>
        </w:rPr>
      </w:pPr>
      <w:r w:rsidRPr="00EC1F06">
        <w:rPr>
          <w:rFonts w:eastAsia="Calibri" w:cs="Times New Roman"/>
          <w:lang w:val="hr-HR"/>
        </w:rPr>
        <w:t xml:space="preserve">Nakon snažnog pada BDP-a od 8,0% u 2020. godini, u srednjoročnom razdoblju se u domaćem gospodarstvu očekuje postupni oporavak ekonomske aktivnosti. Međutim, kao i u većini zemalja u EU, navedeni oporavak bit će usporen i dugotrajan te se prestizanje predkrizne razine gospodarske aktivnosti predviđa tek u 2023. godini. Međutim, promatrajući strukturu BDP-a s rashodne strane, izraženo u stalnim cijenama, </w:t>
      </w:r>
      <w:r>
        <w:rPr>
          <w:rFonts w:eastAsia="Calibri" w:cs="Times New Roman"/>
          <w:lang w:val="hr-HR"/>
        </w:rPr>
        <w:t>većina komponenti</w:t>
      </w:r>
      <w:r w:rsidRPr="00EC1F06">
        <w:rPr>
          <w:rFonts w:eastAsia="Calibri" w:cs="Times New Roman"/>
          <w:lang w:val="hr-HR"/>
        </w:rPr>
        <w:t xml:space="preserve"> dostići će svoje razine iz 2019. već 2022. godine</w:t>
      </w:r>
      <w:r>
        <w:rPr>
          <w:rFonts w:eastAsia="Calibri" w:cs="Times New Roman"/>
          <w:lang w:val="hr-HR"/>
        </w:rPr>
        <w:t xml:space="preserve">. Budući da </w:t>
      </w:r>
      <w:r w:rsidRPr="00EC1F06">
        <w:rPr>
          <w:rFonts w:eastAsia="Calibri" w:cs="Times New Roman"/>
          <w:lang w:val="hr-HR"/>
        </w:rPr>
        <w:t>dr</w:t>
      </w:r>
      <w:r>
        <w:rPr>
          <w:rFonts w:eastAsia="Calibri" w:cs="Times New Roman"/>
          <w:lang w:val="hr-HR"/>
        </w:rPr>
        <w:t>žavna potrošnja ionako bilježi</w:t>
      </w:r>
      <w:r w:rsidRPr="00EC1F06">
        <w:rPr>
          <w:rFonts w:eastAsia="Calibri" w:cs="Times New Roman"/>
          <w:lang w:val="hr-HR"/>
        </w:rPr>
        <w:t xml:space="preserve"> isključivo rast, raniji povratak BDP-a na razinu </w:t>
      </w:r>
      <w:r>
        <w:rPr>
          <w:rFonts w:eastAsia="Calibri" w:cs="Times New Roman"/>
          <w:lang w:val="hr-HR"/>
        </w:rPr>
        <w:t xml:space="preserve">iz 2019. izostat će </w:t>
      </w:r>
      <w:r w:rsidRPr="00EC1F06">
        <w:rPr>
          <w:rFonts w:eastAsia="Calibri" w:cs="Times New Roman"/>
          <w:lang w:val="hr-HR"/>
        </w:rPr>
        <w:t>isključivo zbog izvoza usluga, ko</w:t>
      </w:r>
      <w:r>
        <w:rPr>
          <w:rFonts w:eastAsia="Calibri" w:cs="Times New Roman"/>
          <w:lang w:val="hr-HR"/>
        </w:rPr>
        <w:t xml:space="preserve">ji će to ostvariti tek u 2023. te </w:t>
      </w:r>
      <w:r w:rsidRPr="00EC1F06">
        <w:rPr>
          <w:rFonts w:eastAsia="Calibri" w:cs="Times New Roman"/>
          <w:lang w:val="hr-HR"/>
        </w:rPr>
        <w:t xml:space="preserve">uvoza roba i usluga, koji će u 2022. biti </w:t>
      </w:r>
      <w:r>
        <w:rPr>
          <w:rFonts w:eastAsia="Calibri" w:cs="Times New Roman"/>
          <w:lang w:val="hr-HR"/>
        </w:rPr>
        <w:t xml:space="preserve">znatno </w:t>
      </w:r>
      <w:r w:rsidRPr="00EC1F06">
        <w:rPr>
          <w:rFonts w:eastAsia="Calibri" w:cs="Times New Roman"/>
          <w:lang w:val="hr-HR"/>
        </w:rPr>
        <w:t>viši nego u 2019. Također, a što je posebno značajno za fiskalnu poziciju države, isto vrijedi i za BDP izražen u tek</w:t>
      </w:r>
      <w:r>
        <w:rPr>
          <w:rFonts w:eastAsia="Calibri" w:cs="Times New Roman"/>
          <w:lang w:val="hr-HR"/>
        </w:rPr>
        <w:t xml:space="preserve">ućim cijenama koji će 2022. godine </w:t>
      </w:r>
      <w:r w:rsidRPr="00EC1F06">
        <w:rPr>
          <w:rFonts w:eastAsia="Calibri" w:cs="Times New Roman"/>
          <w:lang w:val="hr-HR"/>
        </w:rPr>
        <w:t xml:space="preserve">znatno premašiti svoju veličinu iz 2019., što odražava i određenu pozitivnu korekciju na strani promjene deflatora u odnosu na projekcije iz travnja. U 2021. očekuje </w:t>
      </w:r>
      <w:r>
        <w:rPr>
          <w:rFonts w:eastAsia="Calibri" w:cs="Times New Roman"/>
          <w:lang w:val="hr-HR"/>
        </w:rPr>
        <w:t xml:space="preserve">se </w:t>
      </w:r>
      <w:r w:rsidRPr="00EC1F06">
        <w:rPr>
          <w:rFonts w:eastAsia="Calibri" w:cs="Times New Roman"/>
          <w:lang w:val="hr-HR"/>
        </w:rPr>
        <w:t>realni rast BDP-a od 5,0%, kojega će pratiti rast od 3,4% u 2022. te 3,1% u 2023. godini. U ovoj godini očekuje se izražen negativan doprinos gospodarskom rastu kako od strane domaće potražnje, tako i od neto inozemne potražnje, a blagi negativan doprinos doći će i od kategorije promjena zaliha (koje uključu</w:t>
      </w:r>
      <w:r>
        <w:rPr>
          <w:rFonts w:eastAsia="Calibri" w:cs="Times New Roman"/>
          <w:lang w:val="hr-HR"/>
        </w:rPr>
        <w:t>ju statističku diskrepanciju). Isto k</w:t>
      </w:r>
      <w:r w:rsidRPr="00EC1F06">
        <w:rPr>
          <w:rFonts w:eastAsia="Calibri" w:cs="Times New Roman"/>
          <w:lang w:val="hr-HR"/>
        </w:rPr>
        <w:t>ao i u proteklim godinama, u ostatku projekcijskog razdoblja rast BDP-a će se temeljiti na doprinosu domaće potražnje, dok se od strane neto inozemne potražnje očekuje blago pozitivan doprinos u</w:t>
      </w:r>
      <w:r>
        <w:rPr>
          <w:rFonts w:eastAsia="Calibri" w:cs="Times New Roman"/>
          <w:lang w:val="hr-HR"/>
        </w:rPr>
        <w:t xml:space="preserve"> 2021. koji će se zatim smanji</w:t>
      </w:r>
      <w:r w:rsidRPr="00EC1F06">
        <w:rPr>
          <w:rFonts w:eastAsia="Calibri" w:cs="Times New Roman"/>
          <w:lang w:val="hr-HR"/>
        </w:rPr>
        <w:t xml:space="preserve">ti </w:t>
      </w:r>
      <w:r>
        <w:rPr>
          <w:rFonts w:eastAsia="Calibri" w:cs="Times New Roman"/>
          <w:lang w:val="hr-HR"/>
        </w:rPr>
        <w:t>na neznatno negativan iznos krajem</w:t>
      </w:r>
      <w:r w:rsidRPr="00EC1F06">
        <w:rPr>
          <w:rFonts w:eastAsia="Calibri" w:cs="Times New Roman"/>
          <w:lang w:val="hr-HR"/>
        </w:rPr>
        <w:t xml:space="preserve"> razdoblja. </w:t>
      </w:r>
    </w:p>
    <w:p w:rsidR="00F048AB" w:rsidRPr="00EC1F06" w:rsidRDefault="00F048AB" w:rsidP="00F048AB">
      <w:pPr>
        <w:spacing w:afterLines="120" w:after="288"/>
        <w:jc w:val="both"/>
        <w:rPr>
          <w:rFonts w:eastAsia="Calibri" w:cs="Times New Roman"/>
          <w:lang w:val="hr-HR"/>
        </w:rPr>
      </w:pPr>
      <w:r w:rsidRPr="00EC1F06">
        <w:rPr>
          <w:rFonts w:eastAsia="Calibri" w:cs="Times New Roman"/>
          <w:lang w:val="hr-HR"/>
        </w:rPr>
        <w:t xml:space="preserve">U </w:t>
      </w:r>
      <w:r w:rsidRPr="005C241E">
        <w:rPr>
          <w:rFonts w:eastAsia="Calibri" w:cs="Times New Roman"/>
          <w:lang w:val="hr-HR"/>
        </w:rPr>
        <w:t>usporedbi s makroekonomskim projekcijama Vlade RH iz travnja 2020. godine, kada je realni pad BDP-a za 2020. iznosio -9,4%, pad BDP-a u 2020. godini u ovom makroekonomskom okviru nešto je manji, prvenstveno kao rezultat slabijeg inicijalnog ekonomskog udara krize uzrokovane COVID-19 virusom u odnosu na ondašnja očekivanja. Tako se kod svih sastavnica BDP-a s rashodne strane očekuju manji padovi u odnosu na prošle projekcije. S druge strane, rast državne potrošnje korigiran je tek blago naniže pri čemu je blago smanjen doprinos</w:t>
      </w:r>
      <w:r w:rsidRPr="00EC1F06">
        <w:rPr>
          <w:rFonts w:eastAsia="Calibri" w:cs="Times New Roman"/>
          <w:lang w:val="hr-HR"/>
        </w:rPr>
        <w:t xml:space="preserve"> intermedijarne potrošnje, a blago povećan doprinos tržišnog outputa. Naročito je naglašena korekcija izvoza te uvoza roba i usluga u odnosu na prijašnje projekcije. Pri tome posebno treba istaknuti iznenađujuće povoljna dosadašnja ostvarenja robnog izvoza unatoč snažnom padu inozemne potražnje za domaćim robama, dok se blagi ispravak stope pada izvoza usluga odnosi prije svega na povoljnije turističke rezultate u ljetnoj sezoni. Ispravak stope pada uvoza roba i usluga odnosi se na manji pad konačne potražnje, ali i nepovoljnije recesijsko smanjenje razine elastičnosti uvoza u odnosu na njezine sastavnice u usporedbi s prijašnjim projekcijama. Kao rezultat opisane korekcije stope rasta BDP-a u 2020., tj. kao rezultat manje izraženog pozitivnog baznog učinka, kao i trenutnih očekivanja produženog oporavka, kako u međunarodnom okruženju tako i u domaćem gospodarstvu, rast BDP-a u 2021. godini umanjen je u odnosu na prošle projekcije kada je iznosio 6,1%. Međutim, promatrano u stalnim cijenama, razina BDP-a u 2021. nešto je viša u odnosu na projekcije iz travnja. Nastavno na opisane korekcije projekcija 2020. godine, prije svega kao rezultat nepovoljnijeg baznog učinka, u 2021. se po veličini promjene doprinosa opet najviše ističu korekcije kod izvoza i uvoza roba i usluga, pri čemu su njihovi doprinosi rastu BDP-a zabilježili tek blago manje ispravke nego za 2020. godinu, ali suprotnog predznaka. Kada se promatraju vrijednosti komponenti BDP-a u 2021., izražene u stalnim cijenama (izuzev kategorije promjene zaliha), relativno najveću negativnu korekciju u odnosu na prethodne projekcije zabilježila je osobna potrošnja, uslijed očekivanja sporijeg oporavka na tržištu rada te zadržavanja raspoloženja potrošača na nižim razinama, dok su najveću pozitivnu korekciju zabilježile bruto investicije u fiksni kapital, kao rezultat ubrzanja očekivane dinamike investicija opće države. </w:t>
      </w:r>
    </w:p>
    <w:p w:rsidR="00F048AB" w:rsidRPr="00EC1F06" w:rsidRDefault="00F048AB" w:rsidP="00F048AB">
      <w:pPr>
        <w:spacing w:afterLines="120" w:after="288"/>
        <w:jc w:val="both"/>
        <w:rPr>
          <w:rFonts w:eastAsia="Calibri" w:cs="Times New Roman"/>
          <w:lang w:val="hr-HR"/>
        </w:rPr>
      </w:pPr>
      <w:r w:rsidRPr="00EC1F06">
        <w:rPr>
          <w:rFonts w:eastAsia="Calibri" w:cs="Times New Roman"/>
          <w:lang w:val="hr-HR"/>
        </w:rPr>
        <w:t>Kretanje osobne potrošnj</w:t>
      </w:r>
      <w:r>
        <w:rPr>
          <w:rFonts w:eastAsia="Calibri" w:cs="Times New Roman"/>
          <w:lang w:val="hr-HR"/>
        </w:rPr>
        <w:t>e</w:t>
      </w:r>
      <w:r w:rsidRPr="00EC1F06">
        <w:rPr>
          <w:rFonts w:eastAsia="Calibri" w:cs="Times New Roman"/>
          <w:lang w:val="hr-HR"/>
        </w:rPr>
        <w:t xml:space="preserve"> će u srednjem roku ograničavati, kao što je već prije spomenuto, slaba očekivana dinamika raspoloživog dohotka kućanstava, ali i spori oporavak potrošačkog optimizma. Tako se u narednom razdoblju očekuje kontinuirano smanjivanje ud</w:t>
      </w:r>
      <w:r w:rsidR="005E5519">
        <w:rPr>
          <w:rFonts w:eastAsia="Calibri" w:cs="Times New Roman"/>
          <w:lang w:val="hr-HR"/>
        </w:rPr>
        <w:t>jela osobne potrošnje u BDP-u s</w:t>
      </w:r>
      <w:r w:rsidRPr="00EC1F06">
        <w:rPr>
          <w:rFonts w:eastAsia="Calibri" w:cs="Times New Roman"/>
          <w:lang w:val="hr-HR"/>
        </w:rPr>
        <w:t xml:space="preserve"> visoke razine iz 2020., a u korist udjela u BDP-u investicijske potrošnje te izvoza roba i usluga. Unatoč izraženoj neizvjesnosti oko epidemiološke i gospodarske perspektive te općenito prigušenim ekonomskim očekivanjima glede budućeg kretanja agregatne potražnje, u srednjem roku predviđa se snažna dinamika bruto investicija u fiksni kapital kao rezultat izdašnih kapitalnih priljeva iz EU fondova, za koje se očekuje da će većinom biti usmjeravani u javne investicije, ali i zadržavanja povoljnih uvjeta financiranja. Pri tomu će investicije privatnog sek</w:t>
      </w:r>
      <w:r>
        <w:rPr>
          <w:rFonts w:eastAsia="Calibri" w:cs="Times New Roman"/>
          <w:lang w:val="hr-HR"/>
        </w:rPr>
        <w:t>tora, nakon očekivanog pada od preko 10</w:t>
      </w:r>
      <w:r w:rsidRPr="00EC1F06">
        <w:rPr>
          <w:rFonts w:eastAsia="Calibri" w:cs="Times New Roman"/>
          <w:lang w:val="hr-HR"/>
        </w:rPr>
        <w:t>% u 2020., nastaviti padati i u 2021. godini, iako znatno manjim intenzitetom, a snažniji rast će zabilježiti tek na kraju projekcijskog razdoblja. S druge strane, inve</w:t>
      </w:r>
      <w:r>
        <w:rPr>
          <w:rFonts w:eastAsia="Calibri" w:cs="Times New Roman"/>
          <w:lang w:val="hr-HR"/>
        </w:rPr>
        <w:t>sticije opće države obilježivat</w:t>
      </w:r>
      <w:r w:rsidRPr="00EC1F06">
        <w:rPr>
          <w:rFonts w:eastAsia="Calibri" w:cs="Times New Roman"/>
          <w:lang w:val="hr-HR"/>
        </w:rPr>
        <w:t xml:space="preserve"> će snažan rast u čitavom projekcijskom razdoblju koji će se postupno usporavati prema 2023. </w:t>
      </w:r>
      <w:r w:rsidR="005E5519">
        <w:rPr>
          <w:rFonts w:eastAsia="Calibri" w:cs="Times New Roman"/>
          <w:lang w:val="hr-HR"/>
        </w:rPr>
        <w:t xml:space="preserve">godini. </w:t>
      </w:r>
      <w:r w:rsidRPr="00EC1F06">
        <w:rPr>
          <w:rFonts w:eastAsia="Calibri" w:cs="Times New Roman"/>
          <w:lang w:val="hr-HR"/>
        </w:rPr>
        <w:t xml:space="preserve">Promatrajući strukturu investicija prema vrstama proizvoda, nakon ostvarenog blagog rasta u 2020. godini, dodatno će ubrzati građevinska aktivnost, dok će ostale komponente investicijske aktivnosti imati primjetno slabiju dinamiku, a posebno se to odnosi na investicije u strojeve i opremu čiji se izraženiji rast očekuje tek prema kraju projekcijskog razdoblja. Uzevši u obzir projekcije fiskalnih kategorija na razini opće države, tijekom srednjoročnog razdoblja očekuje se umjeren i stabilan doprinos državne potrošnje gospodarskom rastu. </w:t>
      </w:r>
    </w:p>
    <w:p w:rsidR="00F048AB" w:rsidRPr="00EC1F06" w:rsidRDefault="00F048AB" w:rsidP="00F048AB">
      <w:pPr>
        <w:spacing w:afterLines="120" w:after="288"/>
        <w:jc w:val="both"/>
        <w:rPr>
          <w:rFonts w:eastAsia="Calibri" w:cs="Times New Roman"/>
          <w:lang w:val="hr-HR"/>
        </w:rPr>
      </w:pPr>
      <w:r w:rsidRPr="00EC1F06">
        <w:rPr>
          <w:rFonts w:eastAsia="Calibri" w:cs="Times New Roman"/>
          <w:lang w:val="hr-HR"/>
        </w:rPr>
        <w:t xml:space="preserve">U dosadašnjem dijelu 2020. kretanje izvoza usluga, a još više izvoza roba, u usporedbi sa prethodnim očekivanjima karakterizirala je iznimno povoljna dinamika u uvjetima svjetske pandemije, recesije i višestrukih izazova u globalnoj razmjeni te je zabilježen značajan rast udjela na svjetskom tržištu. Međutim, dijelom uslijed slabijeg kretanja inozemne potražnje, kako za domaćim robama tako i za uslugama, a dijelom uslijed trenda usporavanja dinamike zastupljenosti na izvoznim tržištima kao rezultat unutarnjih ograničenja, rast izvoza roba i usluga u srednjem roku se očekuje na nižim razinama no što je to bio slučaj u godinama nakon pristupanja EU. Tako se za izvoz roba, pogođen iznimno sporim očekivanim oporavkom globalne trgovine, ali i sputan slabom dinamikom domaće industrijske proizvodnje do kraja projekcijskog razdoblja projicira stabilan umjeren rast. Nakon višegodišnjih rekordnih rezultata kao i primjetno boljih ostvarenja u odnosu na inozemnu konkurenciju za vrijeme velikog dijela ljetne turističke sezone u 2020., domaći turistički sektor će u srednjem roku biti suočen kako s unutarnjim ograničenjima na strani ponude tako i sa slabijom dinamikom potražnje, što u prvi plan dovodi daljnje strateške pomake u smjeru smanjivanja masovnosti te sezonalnosti domaćeg turizma. U uvjetima intenziviranja rasta konačne potražnje, domaća gospodarska struktura, kao male otvorene privrede, uz skromnu perspektivu rasta industrijske proizvodnje, rezultirat će brzim oporavkom uvoza roba i usluga te nastavkom snažnog rasta njegovog udjela u BDP-u. </w:t>
      </w:r>
    </w:p>
    <w:p w:rsidR="00F048AB" w:rsidRPr="00EC1F06" w:rsidRDefault="00F048AB" w:rsidP="00F048AB">
      <w:pPr>
        <w:spacing w:afterLines="120" w:after="288"/>
        <w:jc w:val="both"/>
        <w:rPr>
          <w:rFonts w:cs="Times New Roman"/>
          <w:lang w:val="hr-HR"/>
        </w:rPr>
      </w:pPr>
      <w:r w:rsidRPr="00B172C5">
        <w:rPr>
          <w:rFonts w:cs="Times New Roman"/>
          <w:lang w:val="hr-HR"/>
        </w:rPr>
        <w:t>Predviđa se da će nakon rasta od 0,8% u 2019. godini, potrošačke cijene u 2020. zabilježiti blagi rast od 0,2% na međugodišnjoj razini. Glavne odrednice kretanja potrošačkih cijena u 2020. godini su osjetno smanjenje cijena nafte na svjetskim tržištima, snažan pad domaće potražnje te usporavanje inflacije u eurozoni. Najizraženiji pozitivan doprinos kretanju potrošačkih cijena u 2020. doći će od povećanja cijena hrane, pića i duhana, te u manjoj mjeri potrošačkih cijena bez energije, hrane, pića i duhana, dok će snažan negativan doprinos doći od pada cijena energije. Na kretanje deflatora BDP-a u 2020. pozitivan utjecaj doći će i od snažnog rasta deflatora državne potrošnje te blagog rasta deflatora investicija, dok će negativan utjecaj doći od pogoršanja uvjeta razmjene. U 2021. godini očekuje se ubrzanje inflacije na 0,8%, prvenstveno kao posljedica povećanja cijene energije u uvjetima oporavka cijena nafte na svjetskim tržištima. S druge strane, rast potrošačkih cijena bez energije u 2021. godini će biti nešto sporiji u odnosu na prethodnu godinu, uslijed sporijeg rasta cijena hrane. Očekuje se da će se inflacija potrošačkih cijena i u ostatku projekcijskog razdoblja zadržati na relativno niskim razinama, pri čemu se očekuje njeno postupno ubrzanje na 1,2% u 2022. i 1,3% u 2023. godini, uslijed povećanja inflacije u eurozoni, oporavka osobne potrošnje te rasta cijena sirovina na svjetskim tržištima. Doprinos ubrzanju rasta deflatora BDP-a prema kraju projekcijskog razdoblja, osim ubrzanja rasta cijena domaće potražnje, doći će i od ponovno</w:t>
      </w:r>
      <w:r>
        <w:rPr>
          <w:rFonts w:cs="Times New Roman"/>
          <w:lang w:val="hr-HR"/>
        </w:rPr>
        <w:t>g poboljšanja uvjeta razmjene</w:t>
      </w:r>
      <w:r w:rsidRPr="00EC1F06">
        <w:rPr>
          <w:rFonts w:cs="Times New Roman"/>
          <w:color w:val="000000"/>
          <w:lang w:val="hr-HR"/>
        </w:rPr>
        <w:t>.</w:t>
      </w:r>
      <w:r w:rsidRPr="00EC1F06">
        <w:rPr>
          <w:rFonts w:cs="Times New Roman"/>
          <w:lang w:val="hr-HR"/>
        </w:rPr>
        <w:t xml:space="preserve"> </w:t>
      </w:r>
    </w:p>
    <w:p w:rsidR="00F048AB" w:rsidRPr="00F048AB" w:rsidRDefault="00F048AB" w:rsidP="00F048AB">
      <w:pPr>
        <w:spacing w:before="240" w:after="120" w:line="240" w:lineRule="auto"/>
        <w:jc w:val="both"/>
        <w:rPr>
          <w:i/>
          <w:lang w:val="hr-HR"/>
        </w:rPr>
      </w:pPr>
      <w:bookmarkStart w:id="4" w:name="_Toc51682466"/>
      <w:r w:rsidRPr="00F048AB">
        <w:rPr>
          <w:i/>
          <w:lang w:val="hr-HR"/>
        </w:rPr>
        <w:t xml:space="preserve">Tablica </w:t>
      </w:r>
      <w:r w:rsidRPr="00F048AB">
        <w:rPr>
          <w:i/>
          <w:lang w:val="hr-HR"/>
        </w:rPr>
        <w:fldChar w:fldCharType="begin"/>
      </w:r>
      <w:r w:rsidRPr="00F048AB">
        <w:rPr>
          <w:i/>
          <w:lang w:val="hr-HR"/>
        </w:rPr>
        <w:instrText xml:space="preserve"> SEQ Tablica \* ARABIC </w:instrText>
      </w:r>
      <w:r w:rsidRPr="00F048AB">
        <w:rPr>
          <w:i/>
          <w:lang w:val="hr-HR"/>
        </w:rPr>
        <w:fldChar w:fldCharType="separate"/>
      </w:r>
      <w:r w:rsidR="00B5313A">
        <w:rPr>
          <w:i/>
          <w:noProof/>
          <w:lang w:val="hr-HR"/>
        </w:rPr>
        <w:t>2</w:t>
      </w:r>
      <w:r w:rsidRPr="00F048AB">
        <w:rPr>
          <w:i/>
          <w:lang w:val="hr-HR"/>
        </w:rPr>
        <w:fldChar w:fldCharType="end"/>
      </w:r>
      <w:r w:rsidRPr="00F048AB">
        <w:rPr>
          <w:i/>
          <w:lang w:val="hr-HR"/>
        </w:rPr>
        <w:t>: Kretanje cijena</w:t>
      </w:r>
      <w:bookmarkEnd w:id="4"/>
    </w:p>
    <w:p w:rsidR="00F048AB" w:rsidRPr="00EC1F06" w:rsidRDefault="00F048AB" w:rsidP="00F048AB">
      <w:pPr>
        <w:rPr>
          <w:rFonts w:ascii="Calibri" w:hAnsi="Calibri"/>
          <w:bCs/>
          <w:i/>
          <w:sz w:val="20"/>
          <w:szCs w:val="20"/>
          <w:lang w:val="hr-HR"/>
        </w:rPr>
      </w:pPr>
      <w:r w:rsidRPr="00920E81">
        <w:rPr>
          <w:noProof/>
          <w:lang w:val="hr-HR" w:eastAsia="hr-HR"/>
        </w:rPr>
        <w:drawing>
          <wp:inline distT="0" distB="0" distL="0" distR="0" wp14:anchorId="71738A7C" wp14:editId="7894A257">
            <wp:extent cx="5760720" cy="1453145"/>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453145"/>
                    </a:xfrm>
                    <a:prstGeom prst="rect">
                      <a:avLst/>
                    </a:prstGeom>
                    <a:noFill/>
                    <a:ln>
                      <a:noFill/>
                    </a:ln>
                  </pic:spPr>
                </pic:pic>
              </a:graphicData>
            </a:graphic>
          </wp:inline>
        </w:drawing>
      </w:r>
      <w:r w:rsidRPr="00EC1F06">
        <w:rPr>
          <w:rFonts w:ascii="Calibri" w:hAnsi="Calibri"/>
          <w:bCs/>
          <w:i/>
          <w:sz w:val="20"/>
          <w:szCs w:val="20"/>
          <w:lang w:val="hr-HR"/>
        </w:rPr>
        <w:t xml:space="preserve">     Izvor: DZS, Ministarstvo financija</w:t>
      </w:r>
      <w:r w:rsidRPr="00EC1F06">
        <w:rPr>
          <w:i/>
          <w:lang w:val="hr-HR"/>
        </w:rPr>
        <w:t xml:space="preserve"> </w:t>
      </w:r>
    </w:p>
    <w:p w:rsidR="00F048AB" w:rsidRPr="00EC1F06" w:rsidRDefault="00F048AB" w:rsidP="00F048AB">
      <w:pPr>
        <w:spacing w:afterLines="120" w:after="288"/>
        <w:jc w:val="both"/>
        <w:rPr>
          <w:rFonts w:eastAsia="Calibri" w:cs="Times New Roman"/>
          <w:lang w:val="hr-HR"/>
        </w:rPr>
      </w:pPr>
      <w:r w:rsidRPr="00EC1F06">
        <w:rPr>
          <w:rFonts w:eastAsia="Calibri" w:cs="Times New Roman"/>
          <w:lang w:val="hr-HR"/>
        </w:rPr>
        <w:t>Uvođenje potpore Hrvatskog zavoda za za</w:t>
      </w:r>
      <w:r>
        <w:rPr>
          <w:rFonts w:eastAsia="Calibri" w:cs="Times New Roman"/>
          <w:lang w:val="hr-HR"/>
        </w:rPr>
        <w:t>pošljavanje</w:t>
      </w:r>
      <w:r w:rsidRPr="00EC1F06">
        <w:rPr>
          <w:rFonts w:eastAsia="Calibri" w:cs="Times New Roman"/>
          <w:lang w:val="hr-HR"/>
        </w:rPr>
        <w:t xml:space="preserve"> </w:t>
      </w:r>
      <w:r>
        <w:rPr>
          <w:rFonts w:eastAsia="Calibri" w:cs="Times New Roman"/>
          <w:lang w:val="hr-HR"/>
        </w:rPr>
        <w:t xml:space="preserve">za </w:t>
      </w:r>
      <w:r w:rsidRPr="00EC1F06">
        <w:rPr>
          <w:rFonts w:eastAsia="Calibri" w:cs="Times New Roman"/>
          <w:lang w:val="hr-HR"/>
        </w:rPr>
        <w:t xml:space="preserve">očuvanje radnih mjesta znatno je ublažilo utjecaj krize </w:t>
      </w:r>
      <w:r>
        <w:rPr>
          <w:rFonts w:eastAsia="Calibri" w:cs="Times New Roman"/>
          <w:lang w:val="hr-HR"/>
        </w:rPr>
        <w:t xml:space="preserve">uzrokovane </w:t>
      </w:r>
      <w:r w:rsidRPr="00EC1F06">
        <w:rPr>
          <w:rFonts w:eastAsia="Calibri" w:cs="Times New Roman"/>
          <w:lang w:val="hr-HR"/>
        </w:rPr>
        <w:t xml:space="preserve">COVID-19 </w:t>
      </w:r>
      <w:r>
        <w:rPr>
          <w:rFonts w:eastAsia="Calibri" w:cs="Times New Roman"/>
          <w:lang w:val="hr-HR"/>
        </w:rPr>
        <w:t xml:space="preserve">virusom </w:t>
      </w:r>
      <w:r w:rsidRPr="00EC1F06">
        <w:rPr>
          <w:rFonts w:eastAsia="Calibri" w:cs="Times New Roman"/>
          <w:lang w:val="hr-HR"/>
        </w:rPr>
        <w:t xml:space="preserve">na tržište rada. Iako je neposredno nakon izbijanja </w:t>
      </w:r>
      <w:r w:rsidR="005E5519">
        <w:rPr>
          <w:rFonts w:eastAsia="Calibri" w:cs="Times New Roman"/>
          <w:lang w:val="hr-HR"/>
        </w:rPr>
        <w:t>pand</w:t>
      </w:r>
      <w:r>
        <w:rPr>
          <w:rFonts w:eastAsia="Calibri" w:cs="Times New Roman"/>
          <w:lang w:val="hr-HR"/>
        </w:rPr>
        <w:t>emije</w:t>
      </w:r>
      <w:r w:rsidRPr="00EC1F06">
        <w:rPr>
          <w:rFonts w:eastAsia="Calibri" w:cs="Times New Roman"/>
          <w:lang w:val="hr-HR"/>
        </w:rPr>
        <w:t xml:space="preserve"> tržište rada reagiralo relativno brzo, </w:t>
      </w:r>
      <w:r>
        <w:rPr>
          <w:rFonts w:eastAsia="Calibri" w:cs="Times New Roman"/>
          <w:lang w:val="hr-HR"/>
        </w:rPr>
        <w:t>uz</w:t>
      </w:r>
      <w:r w:rsidRPr="00EC1F06">
        <w:rPr>
          <w:rFonts w:eastAsia="Calibri" w:cs="Times New Roman"/>
          <w:lang w:val="hr-HR"/>
        </w:rPr>
        <w:t xml:space="preserve"> povećanje broja nezaposlenih osoba te smanjenj</w:t>
      </w:r>
      <w:r>
        <w:rPr>
          <w:rFonts w:eastAsia="Calibri" w:cs="Times New Roman"/>
          <w:lang w:val="hr-HR"/>
        </w:rPr>
        <w:t>e</w:t>
      </w:r>
      <w:r w:rsidRPr="00EC1F06">
        <w:rPr>
          <w:rFonts w:eastAsia="Calibri" w:cs="Times New Roman"/>
          <w:lang w:val="hr-HR"/>
        </w:rPr>
        <w:t xml:space="preserve"> broja zaposlenih, nepovoljna kretanja ipak su bila manje izražena u odnosu na inicijalna očekivanja iz Programa konvergencije </w:t>
      </w:r>
      <w:r w:rsidRPr="0039746E">
        <w:rPr>
          <w:rFonts w:eastAsia="Calibri" w:cs="Times New Roman"/>
          <w:lang w:val="hr-HR"/>
        </w:rPr>
        <w:t>RH</w:t>
      </w:r>
      <w:r w:rsidRPr="00EC1F06">
        <w:rPr>
          <w:rFonts w:eastAsia="Calibri" w:cs="Times New Roman"/>
          <w:lang w:val="hr-HR"/>
        </w:rPr>
        <w:t xml:space="preserve"> iz travnja ove godine. Nadalje, podaci o broju osiguranika Hrvatskog zavoda za mirovinsko osiguranje kao i kretanje broja nezaposlenih registriranih kod Hrvatskog zavoda za za</w:t>
      </w:r>
      <w:r>
        <w:rPr>
          <w:rFonts w:eastAsia="Calibri" w:cs="Times New Roman"/>
          <w:lang w:val="hr-HR"/>
        </w:rPr>
        <w:t>pošljavanje</w:t>
      </w:r>
      <w:r w:rsidRPr="00EC1F06">
        <w:rPr>
          <w:rFonts w:eastAsia="Calibri" w:cs="Times New Roman"/>
          <w:lang w:val="hr-HR"/>
        </w:rPr>
        <w:t xml:space="preserve"> ukazuju na postupno poboljšanje </w:t>
      </w:r>
      <w:r>
        <w:rPr>
          <w:rFonts w:eastAsia="Calibri" w:cs="Times New Roman"/>
          <w:lang w:val="hr-HR"/>
        </w:rPr>
        <w:t>kretanja</w:t>
      </w:r>
      <w:r w:rsidRPr="00EC1F06">
        <w:rPr>
          <w:rFonts w:eastAsia="Calibri" w:cs="Times New Roman"/>
          <w:lang w:val="hr-HR"/>
        </w:rPr>
        <w:t xml:space="preserve"> n</w:t>
      </w:r>
      <w:r>
        <w:rPr>
          <w:rFonts w:eastAsia="Calibri" w:cs="Times New Roman"/>
          <w:lang w:val="hr-HR"/>
        </w:rPr>
        <w:t>a tržištu rada</w:t>
      </w:r>
      <w:r w:rsidRPr="00EC1F06">
        <w:rPr>
          <w:rFonts w:eastAsia="Calibri" w:cs="Times New Roman"/>
          <w:lang w:val="hr-HR"/>
        </w:rPr>
        <w:t xml:space="preserve"> nakon svibnja 2020. Tako se na razini čitave 2020. godine očekuje </w:t>
      </w:r>
      <w:r>
        <w:rPr>
          <w:rFonts w:eastAsia="Calibri" w:cs="Times New Roman"/>
          <w:lang w:val="hr-HR"/>
        </w:rPr>
        <w:t>pad broja zaposlenih od 1,4%</w:t>
      </w:r>
      <w:r w:rsidRPr="00EC1F06">
        <w:rPr>
          <w:rFonts w:eastAsia="Calibri" w:cs="Times New Roman"/>
          <w:lang w:val="hr-HR"/>
        </w:rPr>
        <w:t xml:space="preserve"> </w:t>
      </w:r>
      <w:r>
        <w:rPr>
          <w:rFonts w:eastAsia="Calibri" w:cs="Times New Roman"/>
          <w:lang w:val="hr-HR"/>
        </w:rPr>
        <w:t>što je povoljnije nego</w:t>
      </w:r>
      <w:r w:rsidRPr="00EC1F06">
        <w:rPr>
          <w:rFonts w:eastAsia="Calibri" w:cs="Times New Roman"/>
          <w:lang w:val="hr-HR"/>
        </w:rPr>
        <w:t xml:space="preserve"> u Programu konvergencije</w:t>
      </w:r>
      <w:r>
        <w:rPr>
          <w:rFonts w:eastAsia="Calibri" w:cs="Times New Roman"/>
          <w:lang w:val="hr-HR"/>
        </w:rPr>
        <w:t>,</w:t>
      </w:r>
      <w:r w:rsidRPr="00EC1F06">
        <w:rPr>
          <w:rFonts w:eastAsia="Calibri" w:cs="Times New Roman"/>
          <w:lang w:val="hr-HR"/>
        </w:rPr>
        <w:t xml:space="preserve"> </w:t>
      </w:r>
      <w:r>
        <w:rPr>
          <w:rFonts w:eastAsia="Calibri" w:cs="Times New Roman"/>
          <w:lang w:val="hr-HR"/>
        </w:rPr>
        <w:t>kada se očekivalo</w:t>
      </w:r>
      <w:r w:rsidRPr="00EC1F06">
        <w:rPr>
          <w:rFonts w:eastAsia="Calibri" w:cs="Times New Roman"/>
          <w:lang w:val="hr-HR"/>
        </w:rPr>
        <w:t xml:space="preserve"> smanjenje od 3,3%. </w:t>
      </w:r>
      <w:r>
        <w:rPr>
          <w:rFonts w:eastAsia="Calibri" w:cs="Times New Roman"/>
          <w:lang w:val="hr-HR"/>
        </w:rPr>
        <w:t xml:space="preserve">Slijedom navedenog, administrativna stopa nezaposlenosti zabilježit će povećanje na 9,3%. </w:t>
      </w:r>
      <w:r w:rsidRPr="00EC1F06">
        <w:rPr>
          <w:rFonts w:eastAsia="Calibri" w:cs="Times New Roman"/>
          <w:lang w:val="hr-HR"/>
        </w:rPr>
        <w:t xml:space="preserve">U iduće tri godine očekuje se </w:t>
      </w:r>
      <w:r>
        <w:rPr>
          <w:rFonts w:eastAsia="Calibri" w:cs="Times New Roman"/>
          <w:lang w:val="hr-HR"/>
        </w:rPr>
        <w:t xml:space="preserve">postupni </w:t>
      </w:r>
      <w:r w:rsidRPr="00EC1F06">
        <w:rPr>
          <w:rFonts w:eastAsia="Calibri" w:cs="Times New Roman"/>
          <w:lang w:val="hr-HR"/>
        </w:rPr>
        <w:t>oporavak zaposl</w:t>
      </w:r>
      <w:r>
        <w:rPr>
          <w:rFonts w:eastAsia="Calibri" w:cs="Times New Roman"/>
          <w:lang w:val="hr-HR"/>
        </w:rPr>
        <w:t>enosti po stopi od 0,7% u 2021. te</w:t>
      </w:r>
      <w:r w:rsidRPr="00EC1F06">
        <w:rPr>
          <w:rFonts w:eastAsia="Calibri" w:cs="Times New Roman"/>
          <w:lang w:val="hr-HR"/>
        </w:rPr>
        <w:t xml:space="preserve"> 1,4% u 202</w:t>
      </w:r>
      <w:r>
        <w:rPr>
          <w:rFonts w:eastAsia="Calibri" w:cs="Times New Roman"/>
          <w:lang w:val="hr-HR"/>
        </w:rPr>
        <w:t>2</w:t>
      </w:r>
      <w:r w:rsidRPr="00EC1F06">
        <w:rPr>
          <w:rFonts w:eastAsia="Calibri" w:cs="Times New Roman"/>
          <w:lang w:val="hr-HR"/>
        </w:rPr>
        <w:t>. i 2023. godini.</w:t>
      </w:r>
      <w:r>
        <w:rPr>
          <w:rFonts w:eastAsia="Calibri" w:cs="Times New Roman"/>
          <w:lang w:val="hr-HR"/>
        </w:rPr>
        <w:t xml:space="preserve"> Istovremeno se očekuje i smanjenje stope nezaposlenosti na 7,2% u 2023. Što se tiče kretanja plaća, predviđa se da će bruto plaće zaposlenih u pravnim osobama, nakon znatnijeg usporavanja rasta u 2020. te manjeg u 2021., opet blago ubrzati dinamiku prema kraju promatranog razdoblja. </w:t>
      </w:r>
    </w:p>
    <w:p w:rsidR="00F048AB" w:rsidRPr="00F048AB" w:rsidRDefault="00F048AB" w:rsidP="00F048AB">
      <w:pPr>
        <w:spacing w:before="240" w:after="120" w:line="240" w:lineRule="auto"/>
        <w:jc w:val="both"/>
        <w:rPr>
          <w:i/>
          <w:lang w:val="hr-HR"/>
        </w:rPr>
      </w:pPr>
      <w:bookmarkStart w:id="5" w:name="_Toc51682467"/>
      <w:r w:rsidRPr="00F048AB">
        <w:rPr>
          <w:i/>
          <w:lang w:val="hr-HR"/>
        </w:rPr>
        <w:t xml:space="preserve">Tablica </w:t>
      </w:r>
      <w:r w:rsidRPr="00F048AB">
        <w:rPr>
          <w:i/>
          <w:lang w:val="hr-HR"/>
        </w:rPr>
        <w:fldChar w:fldCharType="begin"/>
      </w:r>
      <w:r w:rsidRPr="00F048AB">
        <w:rPr>
          <w:i/>
          <w:lang w:val="hr-HR"/>
        </w:rPr>
        <w:instrText xml:space="preserve"> SEQ Tablica \* ARABIC </w:instrText>
      </w:r>
      <w:r w:rsidRPr="00F048AB">
        <w:rPr>
          <w:i/>
          <w:lang w:val="hr-HR"/>
        </w:rPr>
        <w:fldChar w:fldCharType="separate"/>
      </w:r>
      <w:r w:rsidR="00B5313A">
        <w:rPr>
          <w:i/>
          <w:noProof/>
          <w:lang w:val="hr-HR"/>
        </w:rPr>
        <w:t>3</w:t>
      </w:r>
      <w:r w:rsidRPr="00F048AB">
        <w:rPr>
          <w:i/>
          <w:lang w:val="hr-HR"/>
        </w:rPr>
        <w:fldChar w:fldCharType="end"/>
      </w:r>
      <w:r w:rsidRPr="00F048AB">
        <w:rPr>
          <w:i/>
          <w:lang w:val="hr-HR"/>
        </w:rPr>
        <w:t>: Kretanja na tržištu rada</w:t>
      </w:r>
      <w:bookmarkEnd w:id="5"/>
    </w:p>
    <w:p w:rsidR="00F048AB" w:rsidRPr="00EC1F06" w:rsidRDefault="00F048AB" w:rsidP="00F048AB">
      <w:pPr>
        <w:rPr>
          <w:rFonts w:ascii="Calibri" w:hAnsi="Calibri"/>
          <w:bCs/>
          <w:i/>
          <w:sz w:val="20"/>
          <w:szCs w:val="20"/>
          <w:lang w:val="hr-HR"/>
        </w:rPr>
      </w:pPr>
      <w:r w:rsidRPr="00920E81">
        <w:rPr>
          <w:noProof/>
          <w:lang w:val="hr-HR" w:eastAsia="hr-HR"/>
        </w:rPr>
        <w:drawing>
          <wp:inline distT="0" distB="0" distL="0" distR="0" wp14:anchorId="7924E800" wp14:editId="17E546B5">
            <wp:extent cx="5760720" cy="796553"/>
            <wp:effectExtent l="0" t="0" r="0" b="381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96553"/>
                    </a:xfrm>
                    <a:prstGeom prst="rect">
                      <a:avLst/>
                    </a:prstGeom>
                    <a:noFill/>
                    <a:ln>
                      <a:noFill/>
                    </a:ln>
                  </pic:spPr>
                </pic:pic>
              </a:graphicData>
            </a:graphic>
          </wp:inline>
        </w:drawing>
      </w:r>
      <w:r w:rsidRPr="00EC1F06">
        <w:rPr>
          <w:rFonts w:ascii="Calibri" w:hAnsi="Calibri"/>
          <w:bCs/>
          <w:i/>
          <w:sz w:val="20"/>
          <w:szCs w:val="20"/>
          <w:lang w:val="hr-HR"/>
        </w:rPr>
        <w:t xml:space="preserve">     Izvor: DZS, </w:t>
      </w:r>
      <w:r>
        <w:rPr>
          <w:rFonts w:ascii="Calibri" w:hAnsi="Calibri"/>
          <w:bCs/>
          <w:i/>
          <w:sz w:val="20"/>
          <w:szCs w:val="20"/>
          <w:lang w:val="hr-HR"/>
        </w:rPr>
        <w:t xml:space="preserve">HZMO, </w:t>
      </w:r>
      <w:r w:rsidRPr="00EC1F06">
        <w:rPr>
          <w:rFonts w:ascii="Calibri" w:hAnsi="Calibri"/>
          <w:bCs/>
          <w:i/>
          <w:sz w:val="20"/>
          <w:szCs w:val="20"/>
          <w:lang w:val="hr-HR"/>
        </w:rPr>
        <w:t>Ministarstvo financija</w:t>
      </w:r>
      <w:r w:rsidRPr="00EC1F06">
        <w:rPr>
          <w:i/>
          <w:lang w:val="hr-HR"/>
        </w:rPr>
        <w:t xml:space="preserve"> </w:t>
      </w:r>
    </w:p>
    <w:p w:rsidR="00F048AB" w:rsidRPr="00BA614F" w:rsidRDefault="00F048AB" w:rsidP="00F048AB">
      <w:pPr>
        <w:spacing w:afterLines="120" w:after="288"/>
        <w:jc w:val="both"/>
        <w:rPr>
          <w:rFonts w:eastAsia="Calibri" w:cs="Times New Roman"/>
          <w:lang w:val="hr-HR"/>
        </w:rPr>
      </w:pPr>
      <w:r w:rsidRPr="00EC1F06">
        <w:rPr>
          <w:rFonts w:eastAsia="Calibri" w:cs="Times New Roman"/>
          <w:lang w:val="hr-HR"/>
        </w:rPr>
        <w:t>Budući da je i dalje prisutna iznimno izražena razina neizvjesnosti, koja proizlazi iz više izvora i koja ipak nije u znatnijoj mjeri smanjena u odnosu na projekcije iz travnja, opisani makroekonomski scenarij izložen je snažnim rizicima, među kojima prevladavaju negativni</w:t>
      </w:r>
      <w:r>
        <w:rPr>
          <w:rFonts w:eastAsia="Calibri" w:cs="Times New Roman"/>
          <w:lang w:val="hr-HR"/>
        </w:rPr>
        <w:t xml:space="preserve"> rizici</w:t>
      </w:r>
      <w:r w:rsidRPr="00EC1F06">
        <w:rPr>
          <w:rFonts w:eastAsia="Calibri" w:cs="Times New Roman"/>
          <w:lang w:val="hr-HR"/>
        </w:rPr>
        <w:t xml:space="preserve">. Prvi dio čine rizici koji proizlaze iz neizvjesnosti vezanih uz epidemiološku situaciju. Druga skupina rizika odnosi se na ekonomiju. Nakon što je prvi dio krivulje gospodarskog oporavka, njeno dno i inicijalni oporavak poznat, znatna neizvjesnost ostaje vezana uz sekundarne ekonomske šokove i dinamiku oporavka. Dio rizika za putanju oporavka </w:t>
      </w:r>
      <w:r>
        <w:rPr>
          <w:rFonts w:eastAsia="Calibri" w:cs="Times New Roman"/>
          <w:lang w:val="hr-HR"/>
        </w:rPr>
        <w:t>Republike Hrvatske</w:t>
      </w:r>
      <w:r w:rsidRPr="00EC1F06">
        <w:rPr>
          <w:rFonts w:eastAsia="Calibri" w:cs="Times New Roman"/>
          <w:lang w:val="hr-HR"/>
        </w:rPr>
        <w:t xml:space="preserve"> proistječe iz globalnih kretanja u realnoj kao i financijskoj sferi. Unutarnji negativni rizici u srednjem roku vezani uz specifičnosti strukture domaće privrede dolaze posebice do izražaja u sektoru turizm</w:t>
      </w:r>
      <w:r>
        <w:rPr>
          <w:rFonts w:eastAsia="Calibri" w:cs="Times New Roman"/>
          <w:lang w:val="hr-HR"/>
        </w:rPr>
        <w:t xml:space="preserve">a. </w:t>
      </w:r>
      <w:r w:rsidRPr="00EC1F06">
        <w:rPr>
          <w:rFonts w:eastAsia="Calibri" w:cs="Times New Roman"/>
          <w:lang w:val="hr-HR"/>
        </w:rPr>
        <w:t>Ovdje treba izdvojiti izvoz roba, koji je bio najpropulzivnija sastavnica BDP-a u proteklom razdoblju i o kojemu uvelike ovisi gospodarsko zdravlje zemlje. Naime, iako je izvoz roba iznimno dobro podnio inicijalni udar ekonomske krize inducirane COVID-19 pandemijom, projekcija njegove putanje u projekcijskom razdoblju izložena je prevladavajuće negativnim rizicima, jednim dijelom povezanim uz slabosti i izazove globalne trgovinske razmjene, a drugim uz strukturne slabosti domaćeg gospodarstva u smislu visokog udjela spororastućih izvoznih tržišta te proizvoda niske dodane vrijednosti, kao i posljedično relativno snažno oslanjanje na cjenovnu konkurentnost. Od pozitivnih rizika valja svakako izdvojiti mogućnost snažnijeg povlačenja sredstava iz EU fondova te brže dinamike investiranja nego što je to pretpostavljeno u ovom dokumentu.</w:t>
      </w:r>
      <w:r>
        <w:rPr>
          <w:rFonts w:eastAsia="Calibri" w:cs="Times New Roman"/>
          <w:lang w:val="hr-HR"/>
        </w:rPr>
        <w:t xml:space="preserve"> </w:t>
      </w:r>
      <w:r w:rsidRPr="003E5242">
        <w:rPr>
          <w:rFonts w:eastAsia="Calibri" w:cs="Times New Roman"/>
          <w:lang w:val="hr-HR"/>
        </w:rPr>
        <w:t xml:space="preserve">Glavni rizici koji bi mogli uzrokovati drugačije ostvarenje stope inflacije od prognozirane vezani su uz drugačije kretanje cijena nafte i drugih sirovina na svjetskom tržištu od trenutnih očekivanja, </w:t>
      </w:r>
      <w:r>
        <w:rPr>
          <w:rFonts w:eastAsia="Calibri" w:cs="Times New Roman"/>
          <w:lang w:val="hr-HR"/>
        </w:rPr>
        <w:t xml:space="preserve">te </w:t>
      </w:r>
      <w:r w:rsidRPr="003E5242">
        <w:rPr>
          <w:rFonts w:eastAsia="Calibri" w:cs="Times New Roman"/>
          <w:lang w:val="hr-HR"/>
        </w:rPr>
        <w:t>promjene u administrativno reguliranim cijenama</w:t>
      </w:r>
      <w:r>
        <w:rPr>
          <w:rFonts w:eastAsia="Calibri" w:cs="Times New Roman"/>
          <w:lang w:val="hr-HR"/>
        </w:rPr>
        <w:t>.</w:t>
      </w:r>
    </w:p>
    <w:p w:rsidR="00F048AB" w:rsidRDefault="00F048AB" w:rsidP="00283E07">
      <w:pPr>
        <w:jc w:val="both"/>
        <w:rPr>
          <w:lang w:val="hr-HR"/>
        </w:rPr>
      </w:pPr>
    </w:p>
    <w:p w:rsidR="00695821" w:rsidRPr="00F70B2A" w:rsidRDefault="00695821" w:rsidP="00283E07">
      <w:pPr>
        <w:jc w:val="both"/>
        <w:rPr>
          <w:lang w:val="hr-HR"/>
        </w:rPr>
      </w:pPr>
      <w:r w:rsidRPr="00F70B2A">
        <w:rPr>
          <w:lang w:val="hr-HR"/>
        </w:rPr>
        <w:br w:type="page"/>
      </w:r>
    </w:p>
    <w:p w:rsidR="00A65DDC" w:rsidRPr="00F70B2A" w:rsidRDefault="00695821" w:rsidP="0029489C">
      <w:pPr>
        <w:pStyle w:val="Heading1"/>
        <w:numPr>
          <w:ilvl w:val="0"/>
          <w:numId w:val="17"/>
        </w:numPr>
        <w:rPr>
          <w:lang w:val="hr-HR"/>
        </w:rPr>
      </w:pPr>
      <w:bookmarkStart w:id="6" w:name="_Toc54858236"/>
      <w:r w:rsidRPr="00F70B2A">
        <w:rPr>
          <w:lang w:val="hr-HR"/>
        </w:rPr>
        <w:t>PRIHODI DRŽAVNOG PRORAČUNA</w:t>
      </w:r>
      <w:bookmarkEnd w:id="6"/>
      <w:r w:rsidRPr="00F70B2A">
        <w:rPr>
          <w:lang w:val="hr-HR"/>
        </w:rPr>
        <w:t xml:space="preserve"> </w:t>
      </w:r>
    </w:p>
    <w:p w:rsidR="00A65DDC" w:rsidRPr="00F70B2A" w:rsidRDefault="00A65DDC" w:rsidP="000738DE">
      <w:pPr>
        <w:spacing w:before="240"/>
        <w:rPr>
          <w:lang w:val="hr-HR"/>
        </w:rPr>
      </w:pPr>
    </w:p>
    <w:p w:rsidR="00511A03" w:rsidRPr="002301D9" w:rsidRDefault="00511A03" w:rsidP="00511A03">
      <w:pPr>
        <w:jc w:val="both"/>
        <w:rPr>
          <w:rFonts w:ascii="Calibri" w:hAnsi="Calibri"/>
          <w:lang w:val="hr-HR"/>
        </w:rPr>
      </w:pPr>
      <w:bookmarkStart w:id="7" w:name="_Toc445241791"/>
      <w:r>
        <w:rPr>
          <w:rFonts w:ascii="Calibri" w:hAnsi="Calibri"/>
          <w:lang w:val="hr-HR"/>
        </w:rPr>
        <w:t xml:space="preserve">Kretanja prihoda državnog proračuna u razdoblju 2021. – 2023. određena su očekivanim oporavkom gospodarske aktivnosti, uzimajući u obzir i učinke najavljenih poreznih izmjena u okviru poreza na dobit, poreza na dodanu vrijednost i poreza na dohodak. Naime, od 1. siječnja 2021. stopa poreza na dobit za sve poduzetnike koji imaju promet do 7,5 milijuna kuna smanjuje se s 12% na 10%, dok se u sustavu poreza na dohodak snižavaju stope poreza na dohodak s 36% na 30% te s 24% na 20%. Kod </w:t>
      </w:r>
      <w:r w:rsidRPr="002301D9">
        <w:rPr>
          <w:rFonts w:ascii="Calibri" w:hAnsi="Calibri"/>
          <w:lang w:val="hr-HR"/>
        </w:rPr>
        <w:t xml:space="preserve">poreza na dodanu vrijednost ukida se oslobođenje od plaćanja PDV-a </w:t>
      </w:r>
      <w:r w:rsidR="00DA5FAB">
        <w:rPr>
          <w:rFonts w:ascii="Calibri" w:hAnsi="Calibri"/>
          <w:lang w:val="hr-HR"/>
        </w:rPr>
        <w:t>pri uvozu dobara male vrijednosti</w:t>
      </w:r>
      <w:r>
        <w:rPr>
          <w:rFonts w:ascii="Calibri" w:hAnsi="Calibri"/>
          <w:lang w:val="hr-HR"/>
        </w:rPr>
        <w:t xml:space="preserve">. </w:t>
      </w:r>
    </w:p>
    <w:p w:rsidR="00511A03" w:rsidRDefault="00511A03" w:rsidP="00511A03">
      <w:pPr>
        <w:jc w:val="both"/>
        <w:rPr>
          <w:rFonts w:ascii="Calibri" w:hAnsi="Calibri"/>
          <w:lang w:val="hr-HR"/>
        </w:rPr>
      </w:pPr>
      <w:r>
        <w:rPr>
          <w:rFonts w:ascii="Calibri" w:hAnsi="Calibri"/>
          <w:lang w:val="hr-HR"/>
        </w:rPr>
        <w:t>Osim toga, značajan učinak na prihode proračuna imat će i povlačenje sredstva iz EU fondova. Naime, s jedne strane očekuje se ubrzanje povlačenja ugovorenih sredstava iz tekućeg Višegodišnjeg financijskog okvira 2014.- 2020., a s druge strane, predviđaju se i nova sredstva iz Višegodišnjeg financijskog okvira 2021. – 2027. Nadalje, u fiskalne projekcije uključeno je i korištenje sredstava iz novog instrumenta EU Nove generacije, koja će se usmjeriti za pomoć u likvidnosti gospodarstvu, za očuvanje i potporu otvaranju radnih mjesta te za jačanje oporavka i otpornosti gospodarstva</w:t>
      </w:r>
      <w:r w:rsidR="00DA5FAB">
        <w:rPr>
          <w:rFonts w:ascii="Calibri" w:hAnsi="Calibri"/>
          <w:lang w:val="hr-HR"/>
        </w:rPr>
        <w:t xml:space="preserve"> kroz razvojne , strateške i reformske projekte</w:t>
      </w:r>
      <w:r>
        <w:rPr>
          <w:rFonts w:ascii="Calibri" w:hAnsi="Calibri"/>
          <w:lang w:val="hr-HR"/>
        </w:rPr>
        <w:t xml:space="preserve">, za što je predviđeno gotovo 6 milijardi eura bespovratnih sredstava do kraja 2026. godine. Uz to, u proračunu su projicirana i sredstva </w:t>
      </w:r>
      <w:r w:rsidRPr="001A0F0E">
        <w:rPr>
          <w:rFonts w:ascii="Calibri" w:hAnsi="Calibri"/>
          <w:lang w:val="hr-HR"/>
        </w:rPr>
        <w:t xml:space="preserve">iz Fonda solidarnosti EU </w:t>
      </w:r>
      <w:r>
        <w:rPr>
          <w:rFonts w:ascii="Calibri" w:hAnsi="Calibri"/>
          <w:lang w:val="hr-HR"/>
        </w:rPr>
        <w:t>za</w:t>
      </w:r>
      <w:r w:rsidRPr="001A0F0E">
        <w:rPr>
          <w:rFonts w:ascii="Calibri" w:hAnsi="Calibri"/>
          <w:lang w:val="hr-HR"/>
        </w:rPr>
        <w:t xml:space="preserve"> financiranje dijela obnove javne infrastrukture, ponajprije obrazovne, zdravstvene i kulturne</w:t>
      </w:r>
      <w:r>
        <w:rPr>
          <w:rFonts w:ascii="Calibri" w:hAnsi="Calibri"/>
          <w:lang w:val="hr-HR"/>
        </w:rPr>
        <w:t>, oštećene u potresu</w:t>
      </w:r>
      <w:r w:rsidRPr="001A0F0E">
        <w:rPr>
          <w:rFonts w:ascii="Calibri" w:hAnsi="Calibri"/>
          <w:lang w:val="hr-HR"/>
        </w:rPr>
        <w:t>.</w:t>
      </w:r>
    </w:p>
    <w:p w:rsidR="00511A03" w:rsidRPr="006730D1" w:rsidRDefault="00511A03" w:rsidP="00511A03">
      <w:pPr>
        <w:spacing w:after="120"/>
        <w:jc w:val="both"/>
        <w:rPr>
          <w:lang w:val="hr-HR"/>
        </w:rPr>
      </w:pPr>
      <w:r w:rsidRPr="00DA5FAB">
        <w:rPr>
          <w:lang w:val="hr-HR"/>
        </w:rPr>
        <w:t>Sukladno navedenom, ukupni prihodi u 2021. godini planirani su u iznosu od 147,3 milijarde kuna, dok su za 2022. projicirani u iznosu od 152,7 milijardi kuna. Daljnjim rastom gospodarske aktivnosti prema kraju razdoblja ukupni prihodi proračuna za 2023. godinu projiciraju se u iznosu od 152,9 milijardi kuna.</w:t>
      </w:r>
    </w:p>
    <w:p w:rsidR="00511A03" w:rsidRDefault="00511A03" w:rsidP="00511A03">
      <w:pPr>
        <w:spacing w:after="120"/>
        <w:jc w:val="both"/>
        <w:rPr>
          <w:lang w:val="hr-HR"/>
        </w:rPr>
      </w:pPr>
    </w:p>
    <w:p w:rsidR="00511A03" w:rsidRPr="006730D1" w:rsidRDefault="00511A03" w:rsidP="00511A03">
      <w:pPr>
        <w:jc w:val="both"/>
        <w:rPr>
          <w:b/>
          <w:i/>
          <w:lang w:val="hr-HR"/>
        </w:rPr>
      </w:pPr>
      <w:r w:rsidRPr="006730D1">
        <w:rPr>
          <w:b/>
          <w:i/>
          <w:lang w:val="hr-HR"/>
        </w:rPr>
        <w:t>Porezni prihodi</w:t>
      </w:r>
    </w:p>
    <w:p w:rsidR="00511A03" w:rsidRPr="006730D1" w:rsidRDefault="00511A03" w:rsidP="00511A03">
      <w:pPr>
        <w:spacing w:after="120"/>
        <w:jc w:val="both"/>
        <w:rPr>
          <w:lang w:val="hr-HR"/>
        </w:rPr>
      </w:pPr>
      <w:r w:rsidRPr="006730D1">
        <w:rPr>
          <w:lang w:val="hr-HR"/>
        </w:rPr>
        <w:t>Porezni prihodi za razdoblje 20</w:t>
      </w:r>
      <w:r>
        <w:rPr>
          <w:lang w:val="hr-HR"/>
        </w:rPr>
        <w:t>21</w:t>
      </w:r>
      <w:r w:rsidRPr="006730D1">
        <w:rPr>
          <w:lang w:val="hr-HR"/>
        </w:rPr>
        <w:t>. – 20</w:t>
      </w:r>
      <w:r>
        <w:rPr>
          <w:lang w:val="hr-HR"/>
        </w:rPr>
        <w:t>23</w:t>
      </w:r>
      <w:r w:rsidRPr="006730D1">
        <w:rPr>
          <w:lang w:val="hr-HR"/>
        </w:rPr>
        <w:t xml:space="preserve">. projicirani </w:t>
      </w:r>
      <w:r>
        <w:rPr>
          <w:lang w:val="hr-HR"/>
        </w:rPr>
        <w:t>su na temelju makroekonomskih pretpostavki,</w:t>
      </w:r>
      <w:r w:rsidRPr="006730D1">
        <w:rPr>
          <w:lang w:val="hr-HR"/>
        </w:rPr>
        <w:t xml:space="preserve"> uzimajući u obzir prethodno spome</w:t>
      </w:r>
      <w:r>
        <w:rPr>
          <w:lang w:val="hr-HR"/>
        </w:rPr>
        <w:t xml:space="preserve">nute izmjene u poreznom zakonodavstvu. </w:t>
      </w:r>
      <w:bookmarkStart w:id="8" w:name="_Toc119810574"/>
      <w:bookmarkStart w:id="9" w:name="_Toc119828133"/>
    </w:p>
    <w:p w:rsidR="00511A03" w:rsidRPr="006730D1" w:rsidRDefault="00511A03" w:rsidP="00511A03">
      <w:pPr>
        <w:spacing w:after="120"/>
        <w:jc w:val="both"/>
        <w:rPr>
          <w:lang w:val="hr-HR"/>
        </w:rPr>
      </w:pPr>
      <w:r w:rsidRPr="00DA5FAB">
        <w:rPr>
          <w:lang w:val="hr-HR"/>
        </w:rPr>
        <w:t>U skladu s navedenim, porezni prihodi u 2021. godini projicirani su u iznosu od 79,5 milijardi kuna. U narednim godinama, očekuje se daljnji rast prihoda od poreza te su oni za 2022. projicirani u iznosu od 83,4 milijarde kuna, odnosno uz međugodišnji rast od 5%, dok se u 2023. godini očekuju u iznosu od 86,4 milijarde kuna i bilježe rast od 3,5%.</w:t>
      </w:r>
      <w:r w:rsidRPr="006730D1">
        <w:rPr>
          <w:lang w:val="hr-HR"/>
        </w:rPr>
        <w:t xml:space="preserve"> </w:t>
      </w:r>
    </w:p>
    <w:p w:rsidR="00511A03" w:rsidRPr="006730D1" w:rsidRDefault="00511A03" w:rsidP="00511A03">
      <w:pPr>
        <w:spacing w:after="120"/>
        <w:jc w:val="both"/>
        <w:rPr>
          <w:lang w:val="hr-HR"/>
        </w:rPr>
      </w:pPr>
    </w:p>
    <w:p w:rsidR="00511A03" w:rsidRPr="006730D1" w:rsidRDefault="00511A03" w:rsidP="00511A03">
      <w:pPr>
        <w:spacing w:after="120"/>
        <w:jc w:val="both"/>
        <w:rPr>
          <w:b/>
          <w:i/>
          <w:lang w:val="hr-HR"/>
        </w:rPr>
      </w:pPr>
      <w:bookmarkStart w:id="10" w:name="_Toc119810575"/>
      <w:bookmarkStart w:id="11" w:name="_Toc119828134"/>
      <w:r w:rsidRPr="006730D1">
        <w:rPr>
          <w:b/>
          <w:i/>
          <w:lang w:val="hr-HR"/>
        </w:rPr>
        <w:t>Porez na dobit</w:t>
      </w:r>
      <w:bookmarkEnd w:id="10"/>
      <w:bookmarkEnd w:id="11"/>
    </w:p>
    <w:p w:rsidR="00511A03" w:rsidRPr="00D508EE" w:rsidRDefault="00511A03" w:rsidP="00511A03">
      <w:pPr>
        <w:jc w:val="both"/>
        <w:rPr>
          <w:rFonts w:ascii="Calibri" w:hAnsi="Calibri"/>
          <w:lang w:val="hr-HR"/>
        </w:rPr>
      </w:pPr>
      <w:r w:rsidRPr="00D56C87">
        <w:rPr>
          <w:lang w:val="hr-HR"/>
        </w:rPr>
        <w:t>Porez na dobit u tekućoj godini plaća se na temelju poslovanja poduzetnika prethodne godine. Plan kretanja prihoda od poreza na dobit za 2021., te projekcije za 2022. i 2023. godinu rađene su temeljem procjene poslovanja gospodarskih subjekata i očekivanih učinaka porezne reforme. Prihod od poreza na dobit za 2021. planiran je u iznosu od 8,2 milijarde kuna, dok projekcija za 2022. iznosi 9,2 milijardi kuna te 9,6 milijardi kuna za 2023. godinu.</w:t>
      </w:r>
      <w:r>
        <w:rPr>
          <w:lang w:val="hr-HR"/>
        </w:rPr>
        <w:t xml:space="preserve"> </w:t>
      </w:r>
    </w:p>
    <w:p w:rsidR="00511A03" w:rsidRDefault="00511A03" w:rsidP="00511A03">
      <w:pPr>
        <w:jc w:val="both"/>
        <w:rPr>
          <w:lang w:val="hr-HR"/>
        </w:rPr>
      </w:pPr>
      <w:r>
        <w:rPr>
          <w:rFonts w:ascii="Calibri" w:hAnsi="Calibri"/>
          <w:lang w:val="hr-HR"/>
        </w:rPr>
        <w:t>Novom poreznom reformom, od siječnja 2021. godine</w:t>
      </w:r>
      <w:r w:rsidRPr="00D508EE">
        <w:rPr>
          <w:rFonts w:ascii="Calibri" w:hAnsi="Calibri"/>
          <w:lang w:val="hr-HR"/>
        </w:rPr>
        <w:t xml:space="preserve"> za sve porezne obveznike koji ostvaruju prihode do 7,5 milijuna kuna smanjuje</w:t>
      </w:r>
      <w:r>
        <w:rPr>
          <w:rFonts w:ascii="Calibri" w:hAnsi="Calibri"/>
          <w:lang w:val="hr-HR"/>
        </w:rPr>
        <w:t xml:space="preserve"> se</w:t>
      </w:r>
      <w:r w:rsidRPr="00D508EE">
        <w:rPr>
          <w:rFonts w:ascii="Calibri" w:hAnsi="Calibri"/>
          <w:lang w:val="hr-HR"/>
        </w:rPr>
        <w:t xml:space="preserve"> porezna stopa s 12% na 10%</w:t>
      </w:r>
      <w:r>
        <w:rPr>
          <w:rFonts w:ascii="Calibri" w:hAnsi="Calibri"/>
          <w:lang w:val="hr-HR"/>
        </w:rPr>
        <w:t xml:space="preserve"> te će</w:t>
      </w:r>
      <w:r w:rsidRPr="00D508EE">
        <w:rPr>
          <w:rFonts w:ascii="Calibri" w:hAnsi="Calibri"/>
          <w:lang w:val="hr-HR"/>
        </w:rPr>
        <w:t xml:space="preserve"> </w:t>
      </w:r>
      <w:r>
        <w:rPr>
          <w:rFonts w:ascii="Calibri" w:hAnsi="Calibri"/>
          <w:lang w:val="hr-HR"/>
        </w:rPr>
        <w:t>s</w:t>
      </w:r>
      <w:r w:rsidRPr="00D508EE">
        <w:rPr>
          <w:rFonts w:ascii="Calibri" w:hAnsi="Calibri"/>
          <w:lang w:val="hr-HR"/>
        </w:rPr>
        <w:t xml:space="preserve">nižena porezna stopa od 10% obuhvatiti više od 93% poreznih obveznika. Obzirom na izmjene propisa o oporezivanju dohotka koji predviđa smanjenje porezne stope za dohodak od kapitala ostvaren po osnovi dividendi i udjela u dobiti s 12% na 10%, potrebno je radi izjednačavanja poreznog položaja inozemnih dioničara i članova društva koji nisu fizičke osobe smanjiti stopu poreza po odbitku. Stoga se, </w:t>
      </w:r>
      <w:r>
        <w:rPr>
          <w:rFonts w:ascii="Calibri" w:hAnsi="Calibri"/>
          <w:lang w:val="hr-HR"/>
        </w:rPr>
        <w:t>poreznom reformom</w:t>
      </w:r>
      <w:r w:rsidRPr="00D508EE">
        <w:rPr>
          <w:rFonts w:ascii="Calibri" w:hAnsi="Calibri"/>
          <w:lang w:val="hr-HR"/>
        </w:rPr>
        <w:t xml:space="preserve"> </w:t>
      </w:r>
      <w:r>
        <w:rPr>
          <w:rFonts w:ascii="Calibri" w:hAnsi="Calibri"/>
          <w:lang w:val="hr-HR"/>
        </w:rPr>
        <w:t>smanjuje i stopa</w:t>
      </w:r>
      <w:r w:rsidRPr="00D508EE">
        <w:rPr>
          <w:rFonts w:ascii="Calibri" w:hAnsi="Calibri"/>
          <w:lang w:val="hr-HR"/>
        </w:rPr>
        <w:t xml:space="preserve"> poreza po odbitku pri isplati dividendi i udjela u dobiti s 12% na 10%. Također, nakon dvije godine primjene uočena je mogućnost za smanjenjem stope poreza po odbitku za nastupe inozemnih izvođača s 15% na 10%. Snižavanjem navedenih stopa poreza po odbitku postiže se veća konkurentnost gospodarstava i u području turizma.</w:t>
      </w:r>
      <w:r>
        <w:rPr>
          <w:rFonts w:ascii="Calibri" w:hAnsi="Calibri"/>
          <w:lang w:val="hr-HR"/>
        </w:rPr>
        <w:t xml:space="preserve"> </w:t>
      </w:r>
      <w:r>
        <w:rPr>
          <w:lang w:val="hr-HR"/>
        </w:rPr>
        <w:t xml:space="preserve">Porezno rasterećenje koje se provodi izmjenom Zakona o porezu na dobit iznosi oko </w:t>
      </w:r>
      <w:r w:rsidRPr="003C23B0">
        <w:rPr>
          <w:lang w:val="hr-HR"/>
        </w:rPr>
        <w:t xml:space="preserve">125 </w:t>
      </w:r>
      <w:r>
        <w:rPr>
          <w:lang w:val="hr-HR"/>
        </w:rPr>
        <w:t>milijuna kuna.</w:t>
      </w:r>
    </w:p>
    <w:p w:rsidR="00511A03" w:rsidRPr="006730D1" w:rsidRDefault="00511A03" w:rsidP="00511A03">
      <w:pPr>
        <w:spacing w:after="120"/>
        <w:jc w:val="both"/>
        <w:rPr>
          <w:lang w:val="hr-HR"/>
        </w:rPr>
      </w:pPr>
    </w:p>
    <w:p w:rsidR="00511A03" w:rsidRPr="006730D1" w:rsidRDefault="00511A03" w:rsidP="00511A03">
      <w:pPr>
        <w:spacing w:after="120"/>
        <w:jc w:val="both"/>
        <w:rPr>
          <w:b/>
          <w:i/>
          <w:lang w:val="hr-HR"/>
        </w:rPr>
      </w:pPr>
      <w:bookmarkStart w:id="12" w:name="_Toc119810577"/>
      <w:bookmarkStart w:id="13" w:name="_Toc119828136"/>
      <w:r w:rsidRPr="006730D1">
        <w:rPr>
          <w:b/>
          <w:i/>
          <w:lang w:val="hr-HR"/>
        </w:rPr>
        <w:t>Porez na dodanu vrijednost</w:t>
      </w:r>
      <w:bookmarkEnd w:id="12"/>
      <w:bookmarkEnd w:id="13"/>
    </w:p>
    <w:p w:rsidR="00511A03" w:rsidRPr="000F6871" w:rsidRDefault="00511A03" w:rsidP="00511A03">
      <w:pPr>
        <w:spacing w:after="120"/>
        <w:jc w:val="both"/>
        <w:rPr>
          <w:lang w:val="hr-HR"/>
        </w:rPr>
      </w:pPr>
      <w:r w:rsidRPr="000F6871">
        <w:rPr>
          <w:lang w:val="hr-HR"/>
        </w:rPr>
        <w:t xml:space="preserve">Projekcija prihoda od poreza na dodanu vrijednost uz makroekonomske pretpostavke, </w:t>
      </w:r>
      <w:r w:rsidR="00475096">
        <w:rPr>
          <w:lang w:val="hr-HR"/>
        </w:rPr>
        <w:t xml:space="preserve">koje uključuju rast osobne potrošnje, turističkih usluga, rashoda države za intermedijarnu potrošnju, investicije te socijalne transfere u naravi, </w:t>
      </w:r>
      <w:r w:rsidRPr="000F6871">
        <w:rPr>
          <w:lang w:val="hr-HR"/>
        </w:rPr>
        <w:t xml:space="preserve">uzima u obzir i </w:t>
      </w:r>
      <w:r w:rsidRPr="000F6871">
        <w:rPr>
          <w:rFonts w:ascii="Calibri" w:hAnsi="Calibri"/>
          <w:lang w:val="hr-HR"/>
        </w:rPr>
        <w:t>izmjene u sustavu poreza na dodanu vrijednost</w:t>
      </w:r>
      <w:r w:rsidRPr="000F6871">
        <w:rPr>
          <w:lang w:val="hr-HR"/>
        </w:rPr>
        <w:t xml:space="preserve">. Od 2021. godine </w:t>
      </w:r>
      <w:r w:rsidRPr="000F6871">
        <w:rPr>
          <w:rFonts w:ascii="Calibri" w:hAnsi="Calibri"/>
          <w:lang w:val="hr-HR"/>
        </w:rPr>
        <w:t xml:space="preserve">ukida se oslobođenje od plaćanja PDV-a za uvoz u Europsku uniju pošiljaka čija je vrijednost manja od 22 eura. </w:t>
      </w:r>
      <w:r w:rsidRPr="000F6871">
        <w:rPr>
          <w:lang w:val="hr-HR"/>
        </w:rPr>
        <w:t xml:space="preserve">Po ovoj osnovi očekuje se povećanje prihoda od PDV-a za oko 250 milijuna kuna.  </w:t>
      </w:r>
    </w:p>
    <w:p w:rsidR="00511A03" w:rsidRPr="006730D1" w:rsidRDefault="00511A03" w:rsidP="00511A03">
      <w:pPr>
        <w:spacing w:after="120"/>
        <w:jc w:val="both"/>
        <w:rPr>
          <w:lang w:val="hr-HR"/>
        </w:rPr>
      </w:pPr>
      <w:r w:rsidRPr="000F6871">
        <w:rPr>
          <w:lang w:val="hr-HR"/>
        </w:rPr>
        <w:t>Sukladno navedenom, u 2021. planira se ostvariti 53,7 milijardi kuna prihoda od PDV-a, dok projekcije za 2022. iznose 56,1 milijardu kuna, odnosno 58,3 milijarde kuna za 2023. godinu.</w:t>
      </w:r>
      <w:r w:rsidRPr="006730D1">
        <w:rPr>
          <w:lang w:val="hr-HR"/>
        </w:rPr>
        <w:t xml:space="preserve"> </w:t>
      </w:r>
    </w:p>
    <w:p w:rsidR="00511A03" w:rsidRPr="00E00F09" w:rsidRDefault="00511A03" w:rsidP="00511A03">
      <w:pPr>
        <w:spacing w:after="120"/>
        <w:jc w:val="both"/>
        <w:rPr>
          <w:lang w:val="hr-HR"/>
        </w:rPr>
      </w:pPr>
    </w:p>
    <w:p w:rsidR="00511A03" w:rsidRPr="006730D1" w:rsidRDefault="00511A03" w:rsidP="00511A03">
      <w:pPr>
        <w:spacing w:after="120"/>
        <w:jc w:val="both"/>
        <w:rPr>
          <w:b/>
          <w:i/>
          <w:lang w:val="hr-HR"/>
        </w:rPr>
      </w:pPr>
      <w:bookmarkStart w:id="14" w:name="_Toc119810581"/>
      <w:bookmarkStart w:id="15" w:name="_Toc119828140"/>
      <w:r w:rsidRPr="006730D1">
        <w:rPr>
          <w:b/>
          <w:i/>
          <w:lang w:val="hr-HR"/>
        </w:rPr>
        <w:t>Posebni porezi i trošarine</w:t>
      </w:r>
      <w:bookmarkEnd w:id="14"/>
      <w:bookmarkEnd w:id="15"/>
    </w:p>
    <w:p w:rsidR="00511A03" w:rsidRDefault="00511A03" w:rsidP="00511A03">
      <w:pPr>
        <w:suppressAutoHyphens/>
        <w:jc w:val="both"/>
        <w:textAlignment w:val="baseline"/>
        <w:rPr>
          <w:lang w:val="hr-HR"/>
        </w:rPr>
      </w:pPr>
      <w:r w:rsidRPr="006730D1">
        <w:rPr>
          <w:lang w:val="hr-HR"/>
        </w:rPr>
        <w:t>Prihod od posebnih poreza i trošarina projiciran je na temelju očekivanog kretanja potrošnje trošarinskih proizvoda, uzimajući u obzir učinke izmjena propisa u trošarinskom sustavu</w:t>
      </w:r>
      <w:r>
        <w:rPr>
          <w:lang w:val="hr-HR"/>
        </w:rPr>
        <w:t xml:space="preserve"> koje su stupile na snagu tijekom 2020. godine, a njihov cjelogodišnji učinak biti će vidljiv tijekom 2021</w:t>
      </w:r>
      <w:r w:rsidRPr="006730D1">
        <w:rPr>
          <w:lang w:val="hr-HR"/>
        </w:rPr>
        <w:t>.</w:t>
      </w:r>
      <w:r>
        <w:rPr>
          <w:lang w:val="hr-HR"/>
        </w:rPr>
        <w:t xml:space="preserve"> </w:t>
      </w:r>
    </w:p>
    <w:p w:rsidR="00511A03" w:rsidRPr="006730D1" w:rsidRDefault="00475096" w:rsidP="00511A03">
      <w:pPr>
        <w:spacing w:after="120"/>
        <w:jc w:val="both"/>
        <w:rPr>
          <w:lang w:val="hr-HR"/>
        </w:rPr>
      </w:pPr>
      <w:r w:rsidRPr="00475096">
        <w:rPr>
          <w:lang w:val="hr-HR"/>
        </w:rPr>
        <w:t>Tako se u 20</w:t>
      </w:r>
      <w:r w:rsidR="00511A03" w:rsidRPr="00475096">
        <w:rPr>
          <w:lang w:val="hr-HR"/>
        </w:rPr>
        <w:t>21. godin</w:t>
      </w:r>
      <w:r w:rsidRPr="00475096">
        <w:rPr>
          <w:lang w:val="hr-HR"/>
        </w:rPr>
        <w:t>i</w:t>
      </w:r>
      <w:r w:rsidR="00511A03" w:rsidRPr="00475096">
        <w:rPr>
          <w:lang w:val="hr-HR"/>
        </w:rPr>
        <w:t xml:space="preserve"> ukupni prihod od trošarina </w:t>
      </w:r>
      <w:r w:rsidRPr="00475096">
        <w:rPr>
          <w:lang w:val="hr-HR"/>
        </w:rPr>
        <w:t xml:space="preserve">planira </w:t>
      </w:r>
      <w:r w:rsidR="00511A03" w:rsidRPr="00475096">
        <w:rPr>
          <w:lang w:val="hr-HR"/>
        </w:rPr>
        <w:t>u iznosu od 15,4 milijarde kuna. Za 2022. godinu prihod od trošarina projicira se u ukupnom iznosu od 15,9 milijardi kuna, dok u 2023. ovaj prihod iznosi 16,2 milijarde kuna.</w:t>
      </w:r>
    </w:p>
    <w:p w:rsidR="00511A03" w:rsidRPr="00E00F09" w:rsidRDefault="00511A03" w:rsidP="00511A03">
      <w:pPr>
        <w:spacing w:after="120"/>
        <w:jc w:val="both"/>
        <w:rPr>
          <w:lang w:val="hr-HR"/>
        </w:rPr>
      </w:pPr>
      <w:bookmarkStart w:id="16" w:name="_Toc119810579"/>
      <w:bookmarkStart w:id="17" w:name="_Toc119828138"/>
      <w:bookmarkStart w:id="18" w:name="_Toc119810582"/>
      <w:bookmarkStart w:id="19" w:name="_Toc119828141"/>
    </w:p>
    <w:p w:rsidR="00511A03" w:rsidRPr="006730D1" w:rsidRDefault="00511A03" w:rsidP="00511A03">
      <w:pPr>
        <w:spacing w:after="120"/>
        <w:jc w:val="both"/>
        <w:rPr>
          <w:b/>
          <w:i/>
          <w:lang w:val="hr-HR"/>
        </w:rPr>
      </w:pPr>
      <w:r w:rsidRPr="006730D1">
        <w:rPr>
          <w:b/>
          <w:i/>
          <w:lang w:val="hr-HR"/>
        </w:rPr>
        <w:t>Ostali porezi na robu i usluge</w:t>
      </w:r>
    </w:p>
    <w:p w:rsidR="00511A03" w:rsidRPr="00783A5B" w:rsidRDefault="00511A03" w:rsidP="00511A03">
      <w:pPr>
        <w:spacing w:after="120"/>
        <w:jc w:val="both"/>
        <w:rPr>
          <w:lang w:val="hr-HR"/>
        </w:rPr>
      </w:pPr>
      <w:r w:rsidRPr="00783A5B">
        <w:rPr>
          <w:lang w:val="hr-HR"/>
        </w:rPr>
        <w:t xml:space="preserve">Prihodi </w:t>
      </w:r>
      <w:r w:rsidRPr="0089450C">
        <w:rPr>
          <w:lang w:val="hr-HR"/>
        </w:rPr>
        <w:t>od ostalih poreza na robu i usluge u 2021. planirani su u iznosu od 461,2 milijuna kuna, dok procjene za 2022. iznose 472,3 milijuna kuna, odnosno 483,1 milijun kuna za 2023. godinu. Ovu skupinu poreznih</w:t>
      </w:r>
      <w:r w:rsidRPr="00783A5B">
        <w:rPr>
          <w:lang w:val="hr-HR"/>
        </w:rPr>
        <w:t xml:space="preserve"> prihoda čine prihodi od poreza na osiguranja od automobilske odgovornosti i kasko osiguranja.</w:t>
      </w:r>
    </w:p>
    <w:bookmarkEnd w:id="16"/>
    <w:bookmarkEnd w:id="17"/>
    <w:p w:rsidR="00511A03" w:rsidRPr="00E00F09" w:rsidRDefault="00511A03" w:rsidP="00511A03">
      <w:pPr>
        <w:spacing w:after="120"/>
        <w:jc w:val="both"/>
        <w:rPr>
          <w:lang w:val="hr-HR"/>
        </w:rPr>
      </w:pPr>
    </w:p>
    <w:p w:rsidR="00511A03" w:rsidRPr="006730D1" w:rsidRDefault="00511A03" w:rsidP="00511A03">
      <w:pPr>
        <w:spacing w:after="120"/>
        <w:jc w:val="both"/>
        <w:rPr>
          <w:b/>
          <w:i/>
          <w:lang w:val="hr-HR"/>
        </w:rPr>
      </w:pPr>
      <w:r w:rsidRPr="004D7BE8">
        <w:rPr>
          <w:b/>
          <w:i/>
          <w:lang w:val="hr-HR"/>
        </w:rPr>
        <w:t>Porez na dobitke od igara na sreću i ostali porezi od igara na sreću te naknade za priređivanje igara na sreću</w:t>
      </w:r>
    </w:p>
    <w:p w:rsidR="00511A03" w:rsidRDefault="00511A03" w:rsidP="00511A03">
      <w:pPr>
        <w:spacing w:after="120"/>
        <w:jc w:val="both"/>
        <w:rPr>
          <w:lang w:val="hr-HR"/>
        </w:rPr>
      </w:pPr>
      <w:r w:rsidRPr="0089450C">
        <w:rPr>
          <w:lang w:val="hr-HR"/>
        </w:rPr>
        <w:t xml:space="preserve">Ovi prihodi planirani su temeljem dinamike kretanja u </w:t>
      </w:r>
      <w:r w:rsidR="0089450C" w:rsidRPr="0089450C">
        <w:rPr>
          <w:lang w:val="hr-HR"/>
        </w:rPr>
        <w:t>proteklim godinama</w:t>
      </w:r>
      <w:r w:rsidRPr="0089450C">
        <w:rPr>
          <w:lang w:val="hr-HR"/>
        </w:rPr>
        <w:t xml:space="preserve"> te se sličan trend očekuje i nadalje. Izni</w:t>
      </w:r>
      <w:r w:rsidR="0089450C" w:rsidRPr="0089450C">
        <w:rPr>
          <w:lang w:val="hr-HR"/>
        </w:rPr>
        <w:t>mka od ovog trenda jest 2020.</w:t>
      </w:r>
      <w:r w:rsidRPr="0089450C">
        <w:rPr>
          <w:lang w:val="hr-HR"/>
        </w:rPr>
        <w:t xml:space="preserve"> godina, u kojoj</w:t>
      </w:r>
      <w:r w:rsidR="0089450C" w:rsidRPr="0089450C">
        <w:rPr>
          <w:lang w:val="hr-HR"/>
        </w:rPr>
        <w:t xml:space="preserve"> je</w:t>
      </w:r>
      <w:r w:rsidRPr="0089450C">
        <w:rPr>
          <w:lang w:val="hr-HR"/>
        </w:rPr>
        <w:t xml:space="preserve"> zbog pandemije koronavirusa </w:t>
      </w:r>
      <w:r w:rsidR="0089450C" w:rsidRPr="0089450C">
        <w:rPr>
          <w:lang w:val="hr-HR"/>
        </w:rPr>
        <w:t xml:space="preserve">bio ograničen rad u djelatnosti priređivanja igara na sreću. </w:t>
      </w:r>
      <w:r w:rsidRPr="0089450C">
        <w:rPr>
          <w:lang w:val="hr-HR"/>
        </w:rPr>
        <w:t>Sukladno navedenom</w:t>
      </w:r>
      <w:r w:rsidR="0089450C" w:rsidRPr="0089450C">
        <w:rPr>
          <w:lang w:val="hr-HR"/>
        </w:rPr>
        <w:t>,</w:t>
      </w:r>
      <w:r w:rsidRPr="0089450C">
        <w:rPr>
          <w:lang w:val="hr-HR"/>
        </w:rPr>
        <w:t xml:space="preserve"> prihodi od poreza na dobitke od igara na sreću i ostali porezi od igara na sreću planirani su u iznosu od 319,8 milijuna kuna za 2021. godinu, dok projekcije za 2022. i 2023. godinu iznose 334,6 milijuna kuna, odnosno 349,5 milijuna kuna. Prihodi od naknada za priređivanje igara na sreću za razdoblje 2021. – 2023. planiraju se u iznosu od oko 1 milijarde kuna u 2021. do 1,1 milijarde kuna u 2022. i 2023. godini.</w:t>
      </w:r>
      <w:r>
        <w:rPr>
          <w:lang w:val="hr-HR"/>
        </w:rPr>
        <w:t xml:space="preserve">     </w:t>
      </w:r>
    </w:p>
    <w:p w:rsidR="00511A03" w:rsidRPr="006730D1" w:rsidRDefault="00511A03" w:rsidP="00511A03">
      <w:pPr>
        <w:spacing w:after="120"/>
        <w:jc w:val="both"/>
        <w:rPr>
          <w:lang w:val="hr-HR"/>
        </w:rPr>
      </w:pPr>
    </w:p>
    <w:p w:rsidR="00511A03" w:rsidRPr="006730D1" w:rsidRDefault="00511A03" w:rsidP="00511A03">
      <w:pPr>
        <w:spacing w:after="120"/>
        <w:jc w:val="both"/>
        <w:rPr>
          <w:b/>
          <w:i/>
          <w:lang w:val="hr-HR"/>
        </w:rPr>
      </w:pPr>
      <w:r w:rsidRPr="006730D1">
        <w:rPr>
          <w:b/>
          <w:i/>
          <w:lang w:val="hr-HR"/>
        </w:rPr>
        <w:t>Porez na međunarodn</w:t>
      </w:r>
      <w:bookmarkEnd w:id="18"/>
      <w:bookmarkEnd w:id="19"/>
      <w:r w:rsidRPr="006730D1">
        <w:rPr>
          <w:b/>
          <w:i/>
          <w:lang w:val="hr-HR"/>
        </w:rPr>
        <w:t>u trgovinu i transakcije</w:t>
      </w:r>
    </w:p>
    <w:p w:rsidR="00511A03" w:rsidRPr="0089450C" w:rsidRDefault="00511A03" w:rsidP="00511A03">
      <w:pPr>
        <w:spacing w:after="120"/>
        <w:jc w:val="both"/>
        <w:rPr>
          <w:lang w:val="hr-HR"/>
        </w:rPr>
      </w:pPr>
      <w:r w:rsidRPr="00E03943">
        <w:rPr>
          <w:lang w:val="hr-HR"/>
        </w:rPr>
        <w:t>Prihod od poreza na međunarodnu trgovinu i transakcije za 20</w:t>
      </w:r>
      <w:r>
        <w:rPr>
          <w:lang w:val="hr-HR"/>
        </w:rPr>
        <w:t>21</w:t>
      </w:r>
      <w:r w:rsidRPr="00E03943">
        <w:rPr>
          <w:lang w:val="hr-HR"/>
        </w:rPr>
        <w:t xml:space="preserve">. planiran je u iznosu od </w:t>
      </w:r>
      <w:r w:rsidRPr="0089450C">
        <w:rPr>
          <w:lang w:val="hr-HR"/>
        </w:rPr>
        <w:t xml:space="preserve">359,9 milijuna kuna. Projekcija ovog prihoda za 2022. iznosi 365,4 milijuna kuna, dok za 2023. godinu iznosi 369,8 milijuna kuna. </w:t>
      </w:r>
    </w:p>
    <w:p w:rsidR="00511A03" w:rsidRPr="0089450C" w:rsidRDefault="00511A03" w:rsidP="00511A03">
      <w:pPr>
        <w:spacing w:after="120"/>
        <w:jc w:val="both"/>
        <w:rPr>
          <w:b/>
          <w:i/>
          <w:lang w:val="hr-HR"/>
        </w:rPr>
      </w:pPr>
    </w:p>
    <w:p w:rsidR="00511A03" w:rsidRPr="006730D1" w:rsidRDefault="00511A03" w:rsidP="00511A03">
      <w:pPr>
        <w:spacing w:after="120"/>
        <w:jc w:val="both"/>
        <w:rPr>
          <w:b/>
          <w:i/>
          <w:lang w:val="hr-HR"/>
        </w:rPr>
      </w:pPr>
      <w:r w:rsidRPr="0089450C">
        <w:rPr>
          <w:b/>
          <w:i/>
          <w:lang w:val="hr-HR"/>
        </w:rPr>
        <w:t>Doprinosi</w:t>
      </w:r>
    </w:p>
    <w:p w:rsidR="00511A03" w:rsidRDefault="00511A03" w:rsidP="00511A03">
      <w:pPr>
        <w:spacing w:after="120"/>
        <w:jc w:val="both"/>
        <w:rPr>
          <w:lang w:val="hr-HR"/>
        </w:rPr>
      </w:pPr>
      <w:r>
        <w:rPr>
          <w:lang w:val="hr-HR"/>
        </w:rPr>
        <w:t>P</w:t>
      </w:r>
      <w:r w:rsidRPr="006730D1">
        <w:rPr>
          <w:lang w:val="hr-HR"/>
        </w:rPr>
        <w:t>rojekcije prihoda po osnovi doprinosa za razdoblje 20</w:t>
      </w:r>
      <w:r>
        <w:rPr>
          <w:lang w:val="hr-HR"/>
        </w:rPr>
        <w:t>21</w:t>
      </w:r>
      <w:r w:rsidRPr="006730D1">
        <w:rPr>
          <w:lang w:val="hr-HR"/>
        </w:rPr>
        <w:t>. - 20</w:t>
      </w:r>
      <w:r>
        <w:rPr>
          <w:lang w:val="hr-HR"/>
        </w:rPr>
        <w:t>23</w:t>
      </w:r>
      <w:r w:rsidRPr="006730D1">
        <w:rPr>
          <w:lang w:val="hr-HR"/>
        </w:rPr>
        <w:t xml:space="preserve">. temeljene </w:t>
      </w:r>
      <w:r>
        <w:rPr>
          <w:lang w:val="hr-HR"/>
        </w:rPr>
        <w:t xml:space="preserve">su </w:t>
      </w:r>
      <w:r w:rsidRPr="006730D1">
        <w:rPr>
          <w:lang w:val="hr-HR"/>
        </w:rPr>
        <w:t>na očekivanom kretanju nominaln</w:t>
      </w:r>
      <w:r>
        <w:rPr>
          <w:lang w:val="hr-HR"/>
        </w:rPr>
        <w:t>ih</w:t>
      </w:r>
      <w:r w:rsidRPr="006730D1">
        <w:rPr>
          <w:lang w:val="hr-HR"/>
        </w:rPr>
        <w:t xml:space="preserve"> bruto plać</w:t>
      </w:r>
      <w:r>
        <w:rPr>
          <w:lang w:val="hr-HR"/>
        </w:rPr>
        <w:t>a</w:t>
      </w:r>
      <w:r w:rsidRPr="006730D1">
        <w:rPr>
          <w:lang w:val="hr-HR"/>
        </w:rPr>
        <w:t xml:space="preserve"> i zaposlenost</w:t>
      </w:r>
      <w:r>
        <w:rPr>
          <w:lang w:val="hr-HR"/>
        </w:rPr>
        <w:t xml:space="preserve">i. Valja napomenuti da je jedino prihod od doprinosa za mirovinsko osiguranje, prihod državnog proračuna. </w:t>
      </w:r>
    </w:p>
    <w:p w:rsidR="00511A03" w:rsidRDefault="00511A03" w:rsidP="00511A03">
      <w:pPr>
        <w:spacing w:after="120"/>
        <w:jc w:val="both"/>
        <w:rPr>
          <w:lang w:val="hr-HR"/>
        </w:rPr>
      </w:pPr>
      <w:r w:rsidRPr="00A31CDA">
        <w:rPr>
          <w:lang w:val="hr-HR"/>
        </w:rPr>
        <w:t xml:space="preserve">U 2021. godini u </w:t>
      </w:r>
      <w:r w:rsidR="00A31CDA" w:rsidRPr="00A31CDA">
        <w:rPr>
          <w:lang w:val="hr-HR"/>
        </w:rPr>
        <w:t>d</w:t>
      </w:r>
      <w:r w:rsidRPr="00A31CDA">
        <w:rPr>
          <w:lang w:val="hr-HR"/>
        </w:rPr>
        <w:t>ržavni proračun planira se prikupiti 24,6 milijardi kuna prihoda od doprinosa za mirovinsko osiguranje, dok projekcija za 2022. iznosi 25,5 milijardi kuna, a za 2023. godinu 26,4 milijardi kuna.</w:t>
      </w:r>
      <w:r w:rsidRPr="006730D1">
        <w:rPr>
          <w:lang w:val="hr-HR"/>
        </w:rPr>
        <w:t xml:space="preserve"> </w:t>
      </w:r>
    </w:p>
    <w:p w:rsidR="00511A03" w:rsidRDefault="00511A03" w:rsidP="00511A03">
      <w:pPr>
        <w:spacing w:after="120"/>
        <w:jc w:val="both"/>
        <w:rPr>
          <w:b/>
          <w:i/>
          <w:lang w:val="hr-HR"/>
        </w:rPr>
      </w:pPr>
      <w:bookmarkStart w:id="20" w:name="_Toc119810585"/>
      <w:bookmarkStart w:id="21" w:name="_Toc119828144"/>
    </w:p>
    <w:p w:rsidR="00511A03" w:rsidRPr="006730D1" w:rsidRDefault="00511A03" w:rsidP="00511A03">
      <w:pPr>
        <w:spacing w:after="120"/>
        <w:jc w:val="both"/>
        <w:rPr>
          <w:b/>
          <w:i/>
          <w:lang w:val="hr-HR"/>
        </w:rPr>
      </w:pPr>
      <w:r w:rsidRPr="006730D1">
        <w:rPr>
          <w:b/>
          <w:i/>
          <w:lang w:val="hr-HR"/>
        </w:rPr>
        <w:t>Prihodi od pomoći</w:t>
      </w:r>
      <w:bookmarkEnd w:id="20"/>
      <w:bookmarkEnd w:id="21"/>
      <w:r w:rsidRPr="006730D1">
        <w:rPr>
          <w:b/>
          <w:i/>
          <w:lang w:val="hr-HR"/>
        </w:rPr>
        <w:t xml:space="preserve"> </w:t>
      </w:r>
    </w:p>
    <w:p w:rsidR="00511A03" w:rsidRPr="0023601B" w:rsidRDefault="00511A03" w:rsidP="00511A03">
      <w:pPr>
        <w:spacing w:after="120"/>
        <w:jc w:val="both"/>
        <w:rPr>
          <w:lang w:val="hr-HR"/>
        </w:rPr>
      </w:pPr>
      <w:r w:rsidRPr="00A31CDA">
        <w:rPr>
          <w:lang w:val="hr-HR"/>
        </w:rPr>
        <w:t xml:space="preserve">Prihodi od pomoći se najvećim dijelom odnose na sredstva iz EU fondova, a u razdoblju 2021.-2023. planira se intenzivirati njihovo povlačenje. </w:t>
      </w:r>
      <w:r w:rsidRPr="00A31CDA">
        <w:rPr>
          <w:rFonts w:ascii="Calibri" w:hAnsi="Calibri"/>
          <w:lang w:val="hr-HR"/>
        </w:rPr>
        <w:t>Sukladno navedenom, ukupno planirani prihodi od pomoći u 2021. iznose 24,8 milijardi kuna, u 2022. 25,4 milijarde kuna, a u 2023. godini 21,5 milijardi kuna.</w:t>
      </w:r>
    </w:p>
    <w:p w:rsidR="00511A03" w:rsidRPr="00DB7A7B" w:rsidRDefault="00511A03" w:rsidP="00511A03">
      <w:pPr>
        <w:spacing w:after="120"/>
        <w:jc w:val="both"/>
        <w:rPr>
          <w:iCs/>
        </w:rPr>
      </w:pPr>
    </w:p>
    <w:p w:rsidR="00511A03" w:rsidRPr="006730D1" w:rsidRDefault="00511A03" w:rsidP="00511A03">
      <w:pPr>
        <w:spacing w:after="120"/>
        <w:jc w:val="both"/>
        <w:rPr>
          <w:b/>
          <w:i/>
          <w:lang w:val="hr-HR"/>
        </w:rPr>
      </w:pPr>
      <w:r w:rsidRPr="006730D1">
        <w:rPr>
          <w:b/>
          <w:i/>
          <w:lang w:val="hr-HR"/>
        </w:rPr>
        <w:t>Prihodi od imovine</w:t>
      </w:r>
    </w:p>
    <w:p w:rsidR="00511A03" w:rsidRDefault="00511A03" w:rsidP="00511A03">
      <w:pPr>
        <w:spacing w:after="120"/>
        <w:jc w:val="both"/>
        <w:rPr>
          <w:lang w:val="hr-HR"/>
        </w:rPr>
      </w:pPr>
      <w:r w:rsidRPr="006730D1">
        <w:rPr>
          <w:lang w:val="hr-HR"/>
        </w:rPr>
        <w:t xml:space="preserve">Prihodi od imovine sastoje se od prihoda od kamata (na dane zajmove, po vrijednosnim papirima, na oročena sredstva i depozite po viđenju te zateznih kamata), prihoda od dobiti trgovačkih društava, kreditnih i ostalih financijskih organizacija, prihoda od dividendi, koncesija, iznajmljivanja i zakupa imovine, prihoda od legalizacije te ostalih prihoda od imovine. Ovi prihodi dijelom se prikupljaju na redovnoj bazi, a dijelom kao jednokratni prihodi. Najveće stavke prihoda od imovine čine prihodi od koncesija te prihodi od dobiti trgovačkih društava, kreditnih i ostalih financijskih institucija po posebnim propisima. U promatranom razdoblju planira se daljnje povlačenje dobiti trgovačkih društava u vlasništvu države u državni proračun. </w:t>
      </w:r>
    </w:p>
    <w:p w:rsidR="00511A03" w:rsidRPr="006730D1" w:rsidRDefault="00511A03" w:rsidP="00511A03">
      <w:pPr>
        <w:spacing w:after="120"/>
        <w:jc w:val="both"/>
        <w:rPr>
          <w:lang w:val="hr-HR"/>
        </w:rPr>
      </w:pPr>
      <w:r w:rsidRPr="00943562">
        <w:rPr>
          <w:lang w:val="hr-HR"/>
        </w:rPr>
        <w:t>Za 2021. godinu prihodi od imovine planirani su u iznosu od 2,4 milijarde kuna, dok projekcije za 2022. i 2023. godinu iznose 2,2 milijarde kuna.</w:t>
      </w:r>
      <w:r>
        <w:rPr>
          <w:lang w:val="hr-HR"/>
        </w:rPr>
        <w:t xml:space="preserve"> </w:t>
      </w:r>
      <w:r w:rsidRPr="006730D1">
        <w:rPr>
          <w:lang w:val="hr-HR"/>
        </w:rPr>
        <w:t xml:space="preserve"> </w:t>
      </w:r>
    </w:p>
    <w:p w:rsidR="00511A03" w:rsidRDefault="00511A03" w:rsidP="00511A03">
      <w:pPr>
        <w:spacing w:after="120"/>
        <w:jc w:val="both"/>
        <w:rPr>
          <w:b/>
          <w:i/>
          <w:lang w:val="hr-HR"/>
        </w:rPr>
      </w:pPr>
      <w:bookmarkStart w:id="22" w:name="_Toc119810587"/>
      <w:bookmarkStart w:id="23" w:name="_Toc119828146"/>
    </w:p>
    <w:p w:rsidR="00943562" w:rsidRDefault="00943562" w:rsidP="00511A03">
      <w:pPr>
        <w:spacing w:after="120"/>
        <w:jc w:val="both"/>
        <w:rPr>
          <w:b/>
          <w:i/>
          <w:lang w:val="hr-HR"/>
        </w:rPr>
      </w:pPr>
    </w:p>
    <w:p w:rsidR="00943562" w:rsidRDefault="00943562" w:rsidP="00511A03">
      <w:pPr>
        <w:spacing w:after="120"/>
        <w:jc w:val="both"/>
        <w:rPr>
          <w:b/>
          <w:i/>
          <w:lang w:val="hr-HR"/>
        </w:rPr>
      </w:pPr>
    </w:p>
    <w:p w:rsidR="00511A03" w:rsidRPr="006730D1" w:rsidRDefault="00511A03" w:rsidP="00511A03">
      <w:pPr>
        <w:spacing w:after="120"/>
        <w:jc w:val="both"/>
        <w:rPr>
          <w:b/>
          <w:i/>
          <w:lang w:val="hr-HR"/>
        </w:rPr>
      </w:pPr>
      <w:r w:rsidRPr="006730D1">
        <w:rPr>
          <w:b/>
          <w:i/>
          <w:lang w:val="hr-HR"/>
        </w:rPr>
        <w:t xml:space="preserve">Prihodi od upravnih i administrativnih pristojbi, pristojbi po posebnim propisima i naknada     </w:t>
      </w:r>
    </w:p>
    <w:bookmarkEnd w:id="22"/>
    <w:bookmarkEnd w:id="23"/>
    <w:p w:rsidR="00511A03" w:rsidRPr="00943562" w:rsidRDefault="00511A03" w:rsidP="00511A03">
      <w:pPr>
        <w:spacing w:after="120"/>
        <w:jc w:val="both"/>
        <w:rPr>
          <w:lang w:val="hr-HR"/>
        </w:rPr>
      </w:pPr>
      <w:r w:rsidRPr="00943562">
        <w:rPr>
          <w:lang w:val="hr-HR"/>
        </w:rPr>
        <w:t xml:space="preserve">Prihodi po osnovi upravnih i administrativnih pristojbi u 2021. planirani su u iznosu od 773,7 milijuna kuna, dok projekcije za 2022. iznose 810,9 milijuna kuna, a za 2023. godinu 841,8 milijuna kuna. </w:t>
      </w:r>
    </w:p>
    <w:p w:rsidR="00511A03" w:rsidRPr="006730D1" w:rsidRDefault="00511A03" w:rsidP="00511A03">
      <w:pPr>
        <w:spacing w:after="120"/>
        <w:jc w:val="both"/>
        <w:rPr>
          <w:lang w:val="hr-HR"/>
        </w:rPr>
      </w:pPr>
      <w:r w:rsidRPr="00943562">
        <w:rPr>
          <w:lang w:val="hr-HR"/>
        </w:rPr>
        <w:t>U kategoriji proračunskih prihoda po posebnim propisima planiraju se i namjenski prihodi proračunskih korisnika</w:t>
      </w:r>
      <w:r w:rsidR="00943562" w:rsidRPr="00943562">
        <w:rPr>
          <w:lang w:val="hr-HR"/>
        </w:rPr>
        <w:t xml:space="preserve"> koji u</w:t>
      </w:r>
      <w:r w:rsidRPr="00943562">
        <w:rPr>
          <w:lang w:val="hr-HR"/>
        </w:rPr>
        <w:t xml:space="preserve"> 2021. </w:t>
      </w:r>
      <w:r w:rsidR="00943562" w:rsidRPr="00943562">
        <w:rPr>
          <w:lang w:val="hr-HR"/>
        </w:rPr>
        <w:t>iznose</w:t>
      </w:r>
      <w:r w:rsidRPr="00943562">
        <w:rPr>
          <w:lang w:val="hr-HR"/>
        </w:rPr>
        <w:t xml:space="preserve"> 3,5 milijardi kuna</w:t>
      </w:r>
      <w:r w:rsidR="00943562" w:rsidRPr="00943562">
        <w:rPr>
          <w:lang w:val="hr-HR"/>
        </w:rPr>
        <w:t xml:space="preserve">, a u 2022. i 2023. projiciraju se u iznosu od </w:t>
      </w:r>
      <w:r w:rsidRPr="00943562">
        <w:rPr>
          <w:lang w:val="hr-HR"/>
        </w:rPr>
        <w:t>3,7, odnosno 3,8 milijardi kuna.</w:t>
      </w:r>
      <w:r w:rsidRPr="006730D1">
        <w:rPr>
          <w:lang w:val="hr-HR"/>
        </w:rPr>
        <w:t xml:space="preserve"> </w:t>
      </w:r>
    </w:p>
    <w:p w:rsidR="00511A03" w:rsidRPr="00E00F09" w:rsidRDefault="00511A03" w:rsidP="00511A03">
      <w:pPr>
        <w:spacing w:after="120"/>
        <w:jc w:val="both"/>
        <w:rPr>
          <w:b/>
          <w:i/>
          <w:lang w:val="hr-HR"/>
        </w:rPr>
      </w:pPr>
    </w:p>
    <w:p w:rsidR="00511A03" w:rsidRPr="006730D1" w:rsidRDefault="00511A03" w:rsidP="00511A03">
      <w:pPr>
        <w:spacing w:after="120"/>
        <w:jc w:val="both"/>
        <w:rPr>
          <w:b/>
          <w:i/>
          <w:lang w:val="hr-HR"/>
        </w:rPr>
      </w:pPr>
      <w:bookmarkStart w:id="24" w:name="_Toc119828148"/>
      <w:r w:rsidRPr="006730D1">
        <w:rPr>
          <w:b/>
          <w:i/>
          <w:lang w:val="hr-HR"/>
        </w:rPr>
        <w:t>Prihodi od prodaje proizvoda i roba te pruženih usluga i prihodi od donacija</w:t>
      </w:r>
    </w:p>
    <w:p w:rsidR="00511A03" w:rsidRPr="006730D1" w:rsidRDefault="00511A03" w:rsidP="00511A03">
      <w:pPr>
        <w:spacing w:after="120"/>
        <w:jc w:val="both"/>
        <w:rPr>
          <w:lang w:val="hr-HR"/>
        </w:rPr>
      </w:pPr>
      <w:r w:rsidRPr="006730D1">
        <w:rPr>
          <w:lang w:val="hr-HR"/>
        </w:rPr>
        <w:t>Prihod</w:t>
      </w:r>
      <w:r w:rsidR="00943562">
        <w:rPr>
          <w:lang w:val="hr-HR"/>
        </w:rPr>
        <w:t>e</w:t>
      </w:r>
      <w:r w:rsidRPr="006730D1">
        <w:rPr>
          <w:lang w:val="hr-HR"/>
        </w:rPr>
        <w:t xml:space="preserve"> od prodaje proizvoda i roba te pruženih </w:t>
      </w:r>
      <w:r w:rsidRPr="00943562">
        <w:rPr>
          <w:lang w:val="hr-HR"/>
        </w:rPr>
        <w:t xml:space="preserve">usluga, </w:t>
      </w:r>
      <w:r w:rsidR="00943562" w:rsidRPr="00943562">
        <w:rPr>
          <w:lang w:val="hr-HR"/>
        </w:rPr>
        <w:t xml:space="preserve">koji su u cijelosti namjenski prihodi, </w:t>
      </w:r>
      <w:r w:rsidRPr="00943562">
        <w:rPr>
          <w:lang w:val="hr-HR"/>
        </w:rPr>
        <w:t>kao i prihod</w:t>
      </w:r>
      <w:r w:rsidR="00943562" w:rsidRPr="00943562">
        <w:rPr>
          <w:lang w:val="hr-HR"/>
        </w:rPr>
        <w:t>e</w:t>
      </w:r>
      <w:r w:rsidRPr="00943562">
        <w:rPr>
          <w:lang w:val="hr-HR"/>
        </w:rPr>
        <w:t xml:space="preserve"> od donacija planiraju proračunski korisnici, a za 2021. godinu planirani su u iznosu od 1,5 milijardi kuna. Projekcije prihoda od prodaje proizvoda i roba te pruženih usluga i prihodi od donacija za 2022. i 2023. godinu iznose 1,2 milijarde kuna godišnje.</w:t>
      </w:r>
    </w:p>
    <w:p w:rsidR="00511A03" w:rsidRPr="00E00F09" w:rsidRDefault="00511A03" w:rsidP="00511A03">
      <w:pPr>
        <w:spacing w:after="120"/>
        <w:jc w:val="both"/>
        <w:rPr>
          <w:b/>
          <w:i/>
          <w:lang w:val="hr-HR"/>
        </w:rPr>
      </w:pPr>
    </w:p>
    <w:p w:rsidR="00511A03" w:rsidRPr="006730D1" w:rsidRDefault="00511A03" w:rsidP="00511A03">
      <w:pPr>
        <w:spacing w:after="120"/>
        <w:jc w:val="both"/>
        <w:rPr>
          <w:b/>
          <w:i/>
          <w:lang w:val="hr-HR"/>
        </w:rPr>
      </w:pPr>
      <w:r w:rsidRPr="006730D1">
        <w:rPr>
          <w:b/>
          <w:i/>
          <w:lang w:val="hr-HR"/>
        </w:rPr>
        <w:t>Prihodi iz nadležnog proračuna i od HZZO-a temeljem ugovornih obveza</w:t>
      </w:r>
    </w:p>
    <w:p w:rsidR="00511A03" w:rsidRPr="006730D1" w:rsidRDefault="00511A03" w:rsidP="00511A03">
      <w:pPr>
        <w:spacing w:after="120"/>
        <w:jc w:val="both"/>
        <w:rPr>
          <w:lang w:val="hr-HR"/>
        </w:rPr>
      </w:pPr>
      <w:r w:rsidRPr="00943562">
        <w:rPr>
          <w:lang w:val="hr-HR"/>
        </w:rPr>
        <w:t>Očekuje se kako će prihodi iz nadležnog proračuna i od HZZO-a temeljem ugovornih obveza u planskom razdoblju iznositi od 8,6 milijardi kuna u 2021. do 9,2 milijarde kuna u 2023. godini.</w:t>
      </w:r>
      <w:r>
        <w:rPr>
          <w:lang w:val="hr-HR"/>
        </w:rPr>
        <w:t xml:space="preserve"> </w:t>
      </w:r>
      <w:r w:rsidRPr="006730D1">
        <w:rPr>
          <w:lang w:val="hr-HR"/>
        </w:rPr>
        <w:t xml:space="preserve"> </w:t>
      </w:r>
    </w:p>
    <w:p w:rsidR="00511A03" w:rsidRPr="006730D1" w:rsidRDefault="00511A03" w:rsidP="00511A03">
      <w:pPr>
        <w:spacing w:after="120"/>
        <w:jc w:val="both"/>
        <w:rPr>
          <w:b/>
          <w:i/>
          <w:lang w:val="hr-HR"/>
        </w:rPr>
      </w:pPr>
    </w:p>
    <w:bookmarkEnd w:id="24"/>
    <w:p w:rsidR="00511A03" w:rsidRPr="006730D1" w:rsidRDefault="00511A03" w:rsidP="00511A03">
      <w:pPr>
        <w:spacing w:after="120"/>
        <w:jc w:val="both"/>
        <w:rPr>
          <w:b/>
          <w:i/>
          <w:lang w:val="hr-HR"/>
        </w:rPr>
      </w:pPr>
      <w:r w:rsidRPr="006730D1">
        <w:rPr>
          <w:b/>
          <w:i/>
          <w:lang w:val="hr-HR"/>
        </w:rPr>
        <w:t>Kazne, upravne mjere i ostali prihodi</w:t>
      </w:r>
    </w:p>
    <w:p w:rsidR="00511A03" w:rsidRPr="006730D1" w:rsidRDefault="00511A03" w:rsidP="00511A03">
      <w:pPr>
        <w:spacing w:after="120"/>
        <w:jc w:val="both"/>
        <w:rPr>
          <w:lang w:val="hr-HR"/>
        </w:rPr>
      </w:pPr>
      <w:r w:rsidRPr="00943562">
        <w:rPr>
          <w:lang w:val="hr-HR"/>
        </w:rPr>
        <w:t>Prihodi od kazni i upravnih mjera najvećim se dijelom ostvaruju po osnovi kazni za prometne prekršaje, zatim za porezne i carinske prekršaje, a u nešto manjoj mjeri od raznih ostalih kazni. Očekuje se da će prihodi od kazni i upravnih mjera slijediti trendove dosadašnjih kretanja i u narednom razdoblju te su za 2021. planirani u iznosu od 595,4 milijuna kuna, dok projekcije za 2022. iznose 611,5 milijuna kuna, a za 2023. godinu 627,8 milijuna kuna.</w:t>
      </w:r>
      <w:r w:rsidRPr="006730D1">
        <w:rPr>
          <w:lang w:val="hr-HR"/>
        </w:rPr>
        <w:t xml:space="preserve"> </w:t>
      </w:r>
    </w:p>
    <w:p w:rsidR="00511A03" w:rsidRPr="006730D1" w:rsidRDefault="00511A03" w:rsidP="00511A03">
      <w:pPr>
        <w:spacing w:after="120"/>
        <w:jc w:val="both"/>
        <w:rPr>
          <w:lang w:val="hr-HR"/>
        </w:rPr>
      </w:pPr>
    </w:p>
    <w:p w:rsidR="00511A03" w:rsidRPr="006730D1" w:rsidRDefault="00511A03" w:rsidP="00511A03">
      <w:pPr>
        <w:tabs>
          <w:tab w:val="left" w:pos="7560"/>
        </w:tabs>
        <w:spacing w:after="120"/>
        <w:jc w:val="both"/>
        <w:rPr>
          <w:b/>
          <w:szCs w:val="24"/>
          <w:lang w:val="hr-HR"/>
        </w:rPr>
      </w:pPr>
      <w:r w:rsidRPr="006730D1">
        <w:rPr>
          <w:b/>
          <w:szCs w:val="24"/>
          <w:lang w:val="hr-HR"/>
        </w:rPr>
        <w:t>Prihodi od prodaje nefinancijske imovine</w:t>
      </w:r>
    </w:p>
    <w:p w:rsidR="00511A03" w:rsidRPr="00943562" w:rsidRDefault="00511A03" w:rsidP="00511A03">
      <w:pPr>
        <w:spacing w:after="120"/>
        <w:jc w:val="both"/>
        <w:rPr>
          <w:lang w:val="hr-HR"/>
        </w:rPr>
      </w:pPr>
      <w:r w:rsidRPr="00943562">
        <w:rPr>
          <w:lang w:val="hr-HR"/>
        </w:rPr>
        <w:t xml:space="preserve">Prihodi od prodaje nefinancijske imovine u 2021. godini planiraju se u iznosu od 946,5 milijuna kuna, a najveći dio ovih prihoda ostvarit će se aktivacijom neaktivne državne imovine odnosno prodajom stanova i ostalih građevinskih objekata te prodajom zemljišta. </w:t>
      </w:r>
    </w:p>
    <w:bookmarkEnd w:id="8"/>
    <w:bookmarkEnd w:id="9"/>
    <w:p w:rsidR="00511A03" w:rsidRPr="006730D1" w:rsidRDefault="00511A03" w:rsidP="00511A03">
      <w:pPr>
        <w:spacing w:after="120"/>
        <w:jc w:val="both"/>
        <w:rPr>
          <w:lang w:val="hr-HR"/>
        </w:rPr>
      </w:pPr>
      <w:r w:rsidRPr="00943562">
        <w:rPr>
          <w:lang w:val="hr-HR"/>
        </w:rPr>
        <w:t>U razdoblju 2022. – 2023. godine ukupni prihodi od prodaje nefinancijske imovine projiciraju se u iznosu od 849,7 milijuna kuna u 2022., odnosno 772,4 milijuna kuna u 2023. godini.</w:t>
      </w:r>
      <w:r>
        <w:rPr>
          <w:lang w:val="hr-HR"/>
        </w:rPr>
        <w:t xml:space="preserve">  </w:t>
      </w:r>
    </w:p>
    <w:p w:rsidR="00A061E8" w:rsidRDefault="00A061E8" w:rsidP="001F3879">
      <w:pPr>
        <w:spacing w:before="240" w:after="0" w:line="240" w:lineRule="auto"/>
        <w:jc w:val="both"/>
        <w:rPr>
          <w:i/>
          <w:lang w:val="hr-HR"/>
        </w:rPr>
      </w:pPr>
    </w:p>
    <w:p w:rsidR="000B2784" w:rsidRDefault="000B2784" w:rsidP="001F3879">
      <w:pPr>
        <w:spacing w:before="240" w:after="0" w:line="240" w:lineRule="auto"/>
        <w:jc w:val="both"/>
        <w:rPr>
          <w:i/>
          <w:lang w:val="hr-HR"/>
        </w:rPr>
      </w:pPr>
    </w:p>
    <w:p w:rsidR="000B2784" w:rsidRDefault="000B2784" w:rsidP="001F3879">
      <w:pPr>
        <w:spacing w:before="240" w:after="0" w:line="240" w:lineRule="auto"/>
        <w:jc w:val="both"/>
        <w:rPr>
          <w:i/>
          <w:lang w:val="hr-HR"/>
        </w:rPr>
      </w:pPr>
    </w:p>
    <w:p w:rsidR="000B2784" w:rsidRDefault="000B2784" w:rsidP="001F3879">
      <w:pPr>
        <w:spacing w:before="240" w:after="0" w:line="240" w:lineRule="auto"/>
        <w:jc w:val="both"/>
        <w:rPr>
          <w:i/>
          <w:lang w:val="hr-HR"/>
        </w:rPr>
      </w:pPr>
    </w:p>
    <w:p w:rsidR="000B2784" w:rsidRDefault="000B2784" w:rsidP="001F3879">
      <w:pPr>
        <w:spacing w:before="240" w:after="0" w:line="240" w:lineRule="auto"/>
        <w:jc w:val="both"/>
        <w:rPr>
          <w:i/>
          <w:lang w:val="hr-HR"/>
        </w:rPr>
      </w:pPr>
    </w:p>
    <w:p w:rsidR="00E22265" w:rsidRPr="00F70B2A" w:rsidRDefault="001F3879" w:rsidP="001F3879">
      <w:pPr>
        <w:spacing w:before="240" w:after="0" w:line="240" w:lineRule="auto"/>
        <w:jc w:val="both"/>
        <w:rPr>
          <w:i/>
          <w:lang w:val="hr-HR"/>
        </w:rPr>
      </w:pPr>
      <w:r w:rsidRPr="00F70B2A">
        <w:rPr>
          <w:i/>
          <w:lang w:val="hr-HR"/>
        </w:rPr>
        <w:t xml:space="preserve">Tablica </w:t>
      </w:r>
      <w:r w:rsidRPr="00F70B2A">
        <w:rPr>
          <w:i/>
          <w:lang w:val="hr-HR"/>
        </w:rPr>
        <w:fldChar w:fldCharType="begin"/>
      </w:r>
      <w:r w:rsidRPr="00F70B2A">
        <w:rPr>
          <w:i/>
          <w:lang w:val="hr-HR"/>
        </w:rPr>
        <w:instrText xml:space="preserve"> SEQ Tablica \* ARABIC </w:instrText>
      </w:r>
      <w:r w:rsidRPr="00F70B2A">
        <w:rPr>
          <w:i/>
          <w:lang w:val="hr-HR"/>
        </w:rPr>
        <w:fldChar w:fldCharType="separate"/>
      </w:r>
      <w:r w:rsidR="00B5313A">
        <w:rPr>
          <w:i/>
          <w:noProof/>
          <w:lang w:val="hr-HR"/>
        </w:rPr>
        <w:t>4</w:t>
      </w:r>
      <w:r w:rsidRPr="00F70B2A">
        <w:rPr>
          <w:i/>
          <w:lang w:val="hr-HR"/>
        </w:rPr>
        <w:fldChar w:fldCharType="end"/>
      </w:r>
      <w:r w:rsidRPr="00F70B2A">
        <w:rPr>
          <w:i/>
          <w:lang w:val="hr-HR"/>
        </w:rPr>
        <w:t>: Prihodi državnog proračuna za razdoblje 201</w:t>
      </w:r>
      <w:r w:rsidR="00511A03">
        <w:rPr>
          <w:i/>
          <w:lang w:val="hr-HR"/>
        </w:rPr>
        <w:t>9</w:t>
      </w:r>
      <w:r w:rsidR="00E22265" w:rsidRPr="00F70B2A">
        <w:rPr>
          <w:i/>
          <w:lang w:val="hr-HR"/>
        </w:rPr>
        <w:t>. - 202</w:t>
      </w:r>
      <w:r w:rsidR="00511A03">
        <w:rPr>
          <w:i/>
          <w:lang w:val="hr-HR"/>
        </w:rPr>
        <w:t>3</w:t>
      </w:r>
      <w:r w:rsidRPr="00F70B2A">
        <w:rPr>
          <w:i/>
          <w:lang w:val="hr-HR"/>
        </w:rPr>
        <w:t>.</w:t>
      </w:r>
      <w:bookmarkEnd w:id="7"/>
      <w:r w:rsidRPr="00F70B2A">
        <w:rPr>
          <w:i/>
          <w:lang w:val="hr-HR"/>
        </w:rPr>
        <w:t xml:space="preserve"> </w:t>
      </w:r>
    </w:p>
    <w:p w:rsidR="00F35F16" w:rsidRPr="000B2784" w:rsidRDefault="000B2784" w:rsidP="001F3879">
      <w:pPr>
        <w:spacing w:before="240" w:after="0" w:line="240" w:lineRule="auto"/>
        <w:jc w:val="both"/>
        <w:rPr>
          <w:i/>
          <w:lang w:val="hr-HR"/>
        </w:rPr>
      </w:pPr>
      <w:r w:rsidRPr="000B2784">
        <w:rPr>
          <w:noProof/>
          <w:lang w:val="hr-HR" w:eastAsia="hr-HR"/>
        </w:rPr>
        <w:drawing>
          <wp:inline distT="0" distB="0" distL="0" distR="0">
            <wp:extent cx="6255754" cy="2965836"/>
            <wp:effectExtent l="0" t="0" r="0" b="635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5781" cy="2970590"/>
                    </a:xfrm>
                    <a:prstGeom prst="rect">
                      <a:avLst/>
                    </a:prstGeom>
                    <a:noFill/>
                    <a:ln>
                      <a:noFill/>
                    </a:ln>
                  </pic:spPr>
                </pic:pic>
              </a:graphicData>
            </a:graphic>
          </wp:inline>
        </w:drawing>
      </w:r>
    </w:p>
    <w:p w:rsidR="001F3879" w:rsidRPr="00F70B2A" w:rsidRDefault="001F3879" w:rsidP="001F3879">
      <w:pPr>
        <w:rPr>
          <w:lang w:val="hr-HR"/>
        </w:rPr>
      </w:pPr>
      <w:r w:rsidRPr="000B2784">
        <w:rPr>
          <w:i/>
          <w:sz w:val="20"/>
          <w:lang w:val="hr-HR"/>
        </w:rPr>
        <w:t>Izvor: Ministarstvo financija</w:t>
      </w:r>
    </w:p>
    <w:p w:rsidR="0037667D" w:rsidRPr="00F70B2A" w:rsidRDefault="00695821" w:rsidP="00695821">
      <w:pPr>
        <w:rPr>
          <w:lang w:val="hr-HR"/>
        </w:rPr>
      </w:pPr>
      <w:r w:rsidRPr="00F70B2A">
        <w:rPr>
          <w:lang w:val="hr-HR"/>
        </w:rPr>
        <w:t xml:space="preserve"> </w:t>
      </w:r>
      <w:r w:rsidR="0037667D" w:rsidRPr="00F70B2A">
        <w:rPr>
          <w:lang w:val="hr-HR"/>
        </w:rPr>
        <w:br w:type="page"/>
      </w:r>
    </w:p>
    <w:p w:rsidR="00695821" w:rsidRPr="00F70B2A" w:rsidRDefault="00695821" w:rsidP="0029489C">
      <w:pPr>
        <w:pStyle w:val="Heading1"/>
        <w:numPr>
          <w:ilvl w:val="0"/>
          <w:numId w:val="17"/>
        </w:numPr>
        <w:rPr>
          <w:lang w:val="hr-HR"/>
        </w:rPr>
      </w:pPr>
      <w:bookmarkStart w:id="25" w:name="_Toc54858237"/>
      <w:r w:rsidRPr="00F70B2A">
        <w:rPr>
          <w:lang w:val="hr-HR"/>
        </w:rPr>
        <w:t>RASHODI DRŽAVNOG PRORAČUNA</w:t>
      </w:r>
      <w:bookmarkEnd w:id="25"/>
      <w:r w:rsidRPr="00F70B2A">
        <w:rPr>
          <w:lang w:val="hr-HR"/>
        </w:rPr>
        <w:t xml:space="preserve"> </w:t>
      </w:r>
    </w:p>
    <w:p w:rsidR="00695821" w:rsidRDefault="00695821" w:rsidP="00506C0E">
      <w:pPr>
        <w:spacing w:before="240"/>
        <w:rPr>
          <w:lang w:val="hr-HR"/>
        </w:rPr>
      </w:pPr>
    </w:p>
    <w:p w:rsidR="00527791" w:rsidRPr="00F70B2A" w:rsidRDefault="00527791" w:rsidP="00FA15E4">
      <w:pPr>
        <w:spacing w:before="240"/>
        <w:jc w:val="both"/>
        <w:rPr>
          <w:lang w:val="hr-HR"/>
        </w:rPr>
      </w:pPr>
      <w:r w:rsidRPr="00527791">
        <w:rPr>
          <w:lang w:val="hr-HR"/>
        </w:rPr>
        <w:t>U 2021. godini ukupni rashodi državnog proračuna planirani su u iznosu od 157,9 milijardi kuna, što je 7,2% ili 10,6 milijardi kuna više u odnosu na Državni proračun Republike Hrvatske za 2020. godinu. U 2022. godini ukupni rashodi dosegnut će razinu od 160,0 milijardi kuna, a u 2023. projiciraju se na razini od 157,2 milijarde kuna.</w:t>
      </w:r>
    </w:p>
    <w:p w:rsidR="00BC27DE" w:rsidRDefault="00BC27DE" w:rsidP="002F4321">
      <w:pPr>
        <w:spacing w:before="240" w:after="240" w:line="240" w:lineRule="auto"/>
        <w:jc w:val="both"/>
        <w:rPr>
          <w:i/>
          <w:lang w:val="hr-HR"/>
        </w:rPr>
      </w:pPr>
      <w:r w:rsidRPr="00F70B2A">
        <w:rPr>
          <w:i/>
          <w:lang w:val="hr-HR"/>
        </w:rPr>
        <w:t xml:space="preserve">Tablica </w:t>
      </w:r>
      <w:r w:rsidRPr="00F70B2A">
        <w:rPr>
          <w:i/>
          <w:lang w:val="hr-HR"/>
        </w:rPr>
        <w:fldChar w:fldCharType="begin"/>
      </w:r>
      <w:r w:rsidRPr="00F70B2A">
        <w:rPr>
          <w:i/>
          <w:lang w:val="hr-HR"/>
        </w:rPr>
        <w:instrText xml:space="preserve"> SEQ Tablica \* ARABIC </w:instrText>
      </w:r>
      <w:r w:rsidRPr="00F70B2A">
        <w:rPr>
          <w:i/>
          <w:lang w:val="hr-HR"/>
        </w:rPr>
        <w:fldChar w:fldCharType="separate"/>
      </w:r>
      <w:r w:rsidR="00B5313A">
        <w:rPr>
          <w:i/>
          <w:noProof/>
          <w:lang w:val="hr-HR"/>
        </w:rPr>
        <w:t>5</w:t>
      </w:r>
      <w:r w:rsidRPr="00F70B2A">
        <w:rPr>
          <w:i/>
          <w:lang w:val="hr-HR"/>
        </w:rPr>
        <w:fldChar w:fldCharType="end"/>
      </w:r>
      <w:r w:rsidRPr="00F70B2A">
        <w:rPr>
          <w:i/>
          <w:lang w:val="hr-HR"/>
        </w:rPr>
        <w:t>: Kretanje ukupnih rashoda državnog proračuna u razdoblju 201</w:t>
      </w:r>
      <w:r w:rsidR="00527791">
        <w:rPr>
          <w:i/>
          <w:lang w:val="hr-HR"/>
        </w:rPr>
        <w:t>9</w:t>
      </w:r>
      <w:r w:rsidRPr="00F70B2A">
        <w:rPr>
          <w:i/>
          <w:lang w:val="hr-HR"/>
        </w:rPr>
        <w:t>. - 202</w:t>
      </w:r>
      <w:r w:rsidR="00527791">
        <w:rPr>
          <w:i/>
          <w:lang w:val="hr-HR"/>
        </w:rPr>
        <w:t>3</w:t>
      </w:r>
      <w:r w:rsidRPr="00F70B2A">
        <w:rPr>
          <w:i/>
          <w:lang w:val="hr-HR"/>
        </w:rPr>
        <w:t>.</w:t>
      </w:r>
    </w:p>
    <w:p w:rsidR="00527791" w:rsidRDefault="00FA15E4" w:rsidP="00FC0142">
      <w:pPr>
        <w:spacing w:before="240" w:after="240" w:line="240" w:lineRule="auto"/>
        <w:jc w:val="both"/>
        <w:rPr>
          <w:i/>
          <w:sz w:val="20"/>
          <w:lang w:val="hr-HR"/>
        </w:rPr>
      </w:pPr>
      <w:r w:rsidRPr="00FA15E4">
        <w:rPr>
          <w:noProof/>
          <w:lang w:val="hr-HR" w:eastAsia="hr-HR"/>
        </w:rPr>
        <w:drawing>
          <wp:inline distT="0" distB="0" distL="0" distR="0">
            <wp:extent cx="5760720" cy="1858024"/>
            <wp:effectExtent l="0" t="0" r="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858024"/>
                    </a:xfrm>
                    <a:prstGeom prst="rect">
                      <a:avLst/>
                    </a:prstGeom>
                    <a:noFill/>
                    <a:ln>
                      <a:noFill/>
                    </a:ln>
                  </pic:spPr>
                </pic:pic>
              </a:graphicData>
            </a:graphic>
          </wp:inline>
        </w:drawing>
      </w:r>
    </w:p>
    <w:p w:rsidR="00BC27DE" w:rsidRPr="00F70B2A" w:rsidRDefault="00BC27DE" w:rsidP="00FC0142">
      <w:pPr>
        <w:spacing w:before="240" w:after="240" w:line="240" w:lineRule="auto"/>
        <w:jc w:val="both"/>
        <w:rPr>
          <w:i/>
          <w:sz w:val="20"/>
          <w:lang w:val="hr-HR"/>
        </w:rPr>
      </w:pPr>
      <w:r w:rsidRPr="00F70B2A">
        <w:rPr>
          <w:i/>
          <w:sz w:val="20"/>
          <w:lang w:val="hr-HR"/>
        </w:rPr>
        <w:t>Izvor: Ministarstvo financija</w:t>
      </w:r>
    </w:p>
    <w:p w:rsidR="00527791" w:rsidRPr="00527791" w:rsidRDefault="00527791" w:rsidP="00527791">
      <w:pPr>
        <w:jc w:val="both"/>
        <w:rPr>
          <w:lang w:val="hr-HR"/>
        </w:rPr>
      </w:pPr>
      <w:r w:rsidRPr="00527791">
        <w:rPr>
          <w:lang w:val="hr-HR"/>
        </w:rPr>
        <w:t xml:space="preserve">Od ukupnog povećanja od 10,6 milijardi kuna u odnosu na Državni proračun Republike Hrvatske za 2020. godinu, 3,3 milijarde kuna odnosi se na povećanje rashoda koji se financiraju iz općih prihoda i primitaka, doprinosa i namjenskih primitaka, odnosno izvora koji utječu na rezultat proračuna opće države, a ostatak od 7,3 milijarde kuna odnosi se na povećanje rashoda koji se financiraju iz vlastitih i namjenskih izvora uključujući EU pomoći, odnosno izvora koji ne utječu na rezultat proračuna opće države. </w:t>
      </w:r>
    </w:p>
    <w:p w:rsidR="00527791" w:rsidRPr="00527791" w:rsidRDefault="00527791" w:rsidP="00527791">
      <w:pPr>
        <w:jc w:val="both"/>
        <w:rPr>
          <w:lang w:val="hr-HR"/>
        </w:rPr>
      </w:pPr>
      <w:r w:rsidRPr="00527791">
        <w:rPr>
          <w:lang w:val="hr-HR"/>
        </w:rPr>
        <w:t>Rast rashoda financiranih iz općih prihoda i primitaka, doprinosa i namjenskih primitaka u 2021. godini u odnosu na tekući plan 2020. najvećim dijelom rezultat je osiguranja sredstava za:</w:t>
      </w:r>
    </w:p>
    <w:p w:rsidR="00527791" w:rsidRPr="00527791" w:rsidRDefault="00527791" w:rsidP="00527791">
      <w:pPr>
        <w:jc w:val="both"/>
        <w:rPr>
          <w:lang w:val="hr-HR"/>
        </w:rPr>
      </w:pPr>
      <w:r w:rsidRPr="00527791">
        <w:rPr>
          <w:lang w:val="hr-HR"/>
        </w:rPr>
        <w:t>•</w:t>
      </w:r>
      <w:r w:rsidRPr="00527791">
        <w:rPr>
          <w:lang w:val="hr-HR"/>
        </w:rPr>
        <w:tab/>
        <w:t>kompenzacijske mjere  jedinicama lokalne i područne (regionalne) samouprave uslijed izmjena poreznih propisa u iznosu od 1,5 milijardi kuna,</w:t>
      </w:r>
    </w:p>
    <w:p w:rsidR="00527791" w:rsidRPr="00527791" w:rsidRDefault="00527791" w:rsidP="00527791">
      <w:pPr>
        <w:jc w:val="both"/>
        <w:rPr>
          <w:lang w:val="hr-HR"/>
        </w:rPr>
      </w:pPr>
      <w:r w:rsidRPr="00527791">
        <w:rPr>
          <w:lang w:val="hr-HR"/>
        </w:rPr>
        <w:t>•</w:t>
      </w:r>
      <w:r w:rsidRPr="00527791">
        <w:rPr>
          <w:lang w:val="hr-HR"/>
        </w:rPr>
        <w:tab/>
        <w:t xml:space="preserve">doprinos RH proračunu Europske unije u iznosu od 1,1 milijardu kuna, </w:t>
      </w:r>
    </w:p>
    <w:p w:rsidR="00527791" w:rsidRPr="00527791" w:rsidRDefault="00527791" w:rsidP="00527791">
      <w:pPr>
        <w:jc w:val="both"/>
        <w:rPr>
          <w:lang w:val="hr-HR"/>
        </w:rPr>
      </w:pPr>
      <w:r w:rsidRPr="00527791">
        <w:rPr>
          <w:lang w:val="hr-HR"/>
        </w:rPr>
        <w:t>•</w:t>
      </w:r>
      <w:r w:rsidRPr="00527791">
        <w:rPr>
          <w:lang w:val="hr-HR"/>
        </w:rPr>
        <w:tab/>
        <w:t xml:space="preserve">rashode za zaposlene (uključujući rashode za zaposlene u osnovnom i srednjem školstvu) u iznosu od 1,0 milijardi kuna </w:t>
      </w:r>
    </w:p>
    <w:p w:rsidR="00527791" w:rsidRPr="00527791" w:rsidRDefault="00527791" w:rsidP="00527791">
      <w:pPr>
        <w:jc w:val="both"/>
        <w:rPr>
          <w:lang w:val="hr-HR"/>
        </w:rPr>
      </w:pPr>
      <w:r w:rsidRPr="00527791">
        <w:rPr>
          <w:lang w:val="hr-HR"/>
        </w:rPr>
        <w:t>•</w:t>
      </w:r>
      <w:r w:rsidRPr="00527791">
        <w:rPr>
          <w:lang w:val="hr-HR"/>
        </w:rPr>
        <w:tab/>
        <w:t>mirovine i mirovinska primanja (indeksacija mirovina po općim i posebnim propisima i očekivani porast broja umirovljenika) u iznosu od 870,3 milijuna kuna</w:t>
      </w:r>
    </w:p>
    <w:p w:rsidR="00527791" w:rsidRPr="00527791" w:rsidRDefault="00527791" w:rsidP="00527791">
      <w:pPr>
        <w:jc w:val="both"/>
        <w:rPr>
          <w:lang w:val="hr-HR"/>
        </w:rPr>
      </w:pPr>
      <w:r w:rsidRPr="00527791">
        <w:rPr>
          <w:lang w:val="hr-HR"/>
        </w:rPr>
        <w:t>•</w:t>
      </w:r>
      <w:r w:rsidRPr="00527791">
        <w:rPr>
          <w:lang w:val="hr-HR"/>
        </w:rPr>
        <w:tab/>
        <w:t>kamate u iznosu od 658,7 milijuna kuna,</w:t>
      </w:r>
    </w:p>
    <w:p w:rsidR="00527791" w:rsidRPr="00527791" w:rsidRDefault="00527791" w:rsidP="00527791">
      <w:pPr>
        <w:jc w:val="both"/>
        <w:rPr>
          <w:lang w:val="hr-HR"/>
        </w:rPr>
      </w:pPr>
      <w:r w:rsidRPr="00527791">
        <w:rPr>
          <w:lang w:val="hr-HR"/>
        </w:rPr>
        <w:t>•</w:t>
      </w:r>
      <w:r w:rsidRPr="00527791">
        <w:rPr>
          <w:lang w:val="hr-HR"/>
        </w:rPr>
        <w:tab/>
        <w:t>sredstva učešća za EU pomoći u iznosu od 525,1 milijun kuna,</w:t>
      </w:r>
    </w:p>
    <w:p w:rsidR="00527791" w:rsidRPr="00527791" w:rsidRDefault="00527791" w:rsidP="00527791">
      <w:pPr>
        <w:jc w:val="both"/>
        <w:rPr>
          <w:lang w:val="hr-HR"/>
        </w:rPr>
      </w:pPr>
      <w:r w:rsidRPr="00527791">
        <w:rPr>
          <w:lang w:val="hr-HR"/>
        </w:rPr>
        <w:t>•</w:t>
      </w:r>
      <w:r w:rsidRPr="00527791">
        <w:rPr>
          <w:lang w:val="hr-HR"/>
        </w:rPr>
        <w:tab/>
        <w:t>socijalne pomoći i naknade u iznosu od 443,5 milijuna kuna,</w:t>
      </w:r>
    </w:p>
    <w:p w:rsidR="00527791" w:rsidRPr="00527791" w:rsidRDefault="00527791" w:rsidP="00527791">
      <w:pPr>
        <w:jc w:val="both"/>
        <w:rPr>
          <w:lang w:val="hr-HR"/>
        </w:rPr>
      </w:pPr>
      <w:r w:rsidRPr="00527791">
        <w:rPr>
          <w:lang w:val="hr-HR"/>
        </w:rPr>
        <w:t>•</w:t>
      </w:r>
      <w:r w:rsidRPr="00527791">
        <w:rPr>
          <w:lang w:val="hr-HR"/>
        </w:rPr>
        <w:tab/>
        <w:t>decentralizirane funkcije u iznosu od 377,2 milijuna kuna,</w:t>
      </w:r>
    </w:p>
    <w:p w:rsidR="00527791" w:rsidRPr="00527791" w:rsidRDefault="00527791" w:rsidP="00527791">
      <w:pPr>
        <w:jc w:val="both"/>
        <w:rPr>
          <w:lang w:val="hr-HR"/>
        </w:rPr>
      </w:pPr>
      <w:r w:rsidRPr="00527791">
        <w:rPr>
          <w:lang w:val="hr-HR"/>
        </w:rPr>
        <w:t>•</w:t>
      </w:r>
      <w:r w:rsidRPr="00527791">
        <w:rPr>
          <w:lang w:val="hr-HR"/>
        </w:rPr>
        <w:tab/>
        <w:t>jamstvenu pričuvu u iznosu od 300,0 milijuna kuna (sredstva jamstvene pričuve prošlih godina planirala su se u okviru izdataka)</w:t>
      </w:r>
    </w:p>
    <w:p w:rsidR="00527791" w:rsidRPr="00527791" w:rsidRDefault="00527791" w:rsidP="00527791">
      <w:pPr>
        <w:jc w:val="both"/>
        <w:rPr>
          <w:lang w:val="hr-HR"/>
        </w:rPr>
      </w:pPr>
      <w:r w:rsidRPr="00527791">
        <w:rPr>
          <w:lang w:val="hr-HR"/>
        </w:rPr>
        <w:t>•</w:t>
      </w:r>
      <w:r w:rsidRPr="00527791">
        <w:rPr>
          <w:lang w:val="hr-HR"/>
        </w:rPr>
        <w:tab/>
        <w:t>sufinanciranje EU projekta na regionalnoj i lokalnoj razini u iznosu od 168,9 milijuna kuna</w:t>
      </w:r>
    </w:p>
    <w:p w:rsidR="00527791" w:rsidRPr="00527791" w:rsidRDefault="00527791" w:rsidP="00527791">
      <w:pPr>
        <w:jc w:val="both"/>
        <w:rPr>
          <w:lang w:val="hr-HR"/>
        </w:rPr>
      </w:pPr>
      <w:r w:rsidRPr="00527791">
        <w:rPr>
          <w:lang w:val="hr-HR"/>
        </w:rPr>
        <w:t>•</w:t>
      </w:r>
      <w:r w:rsidRPr="00527791">
        <w:rPr>
          <w:lang w:val="hr-HR"/>
        </w:rPr>
        <w:tab/>
        <w:t>sanaciju posljedica uzrokovanih potresom u iznosu od 243,2 milijuna kuna,</w:t>
      </w:r>
    </w:p>
    <w:p w:rsidR="00527791" w:rsidRPr="00527791" w:rsidRDefault="00527791" w:rsidP="00527791">
      <w:pPr>
        <w:jc w:val="both"/>
        <w:rPr>
          <w:lang w:val="hr-HR"/>
        </w:rPr>
      </w:pPr>
      <w:r w:rsidRPr="00527791">
        <w:rPr>
          <w:lang w:val="hr-HR"/>
        </w:rPr>
        <w:t>•</w:t>
      </w:r>
      <w:r w:rsidRPr="00527791">
        <w:rPr>
          <w:lang w:val="hr-HR"/>
        </w:rPr>
        <w:tab/>
        <w:t>dodatni roditeljski dopust u iznosu od 140,4 milijuna kuna.</w:t>
      </w:r>
    </w:p>
    <w:p w:rsidR="00527791" w:rsidRPr="00527791" w:rsidRDefault="00527791" w:rsidP="00527791">
      <w:pPr>
        <w:jc w:val="both"/>
        <w:rPr>
          <w:lang w:val="hr-HR"/>
        </w:rPr>
      </w:pPr>
    </w:p>
    <w:p w:rsidR="00527791" w:rsidRPr="00527791" w:rsidRDefault="00527791" w:rsidP="00527791">
      <w:pPr>
        <w:jc w:val="both"/>
        <w:rPr>
          <w:lang w:val="hr-HR"/>
        </w:rPr>
      </w:pPr>
      <w:r w:rsidRPr="00527791">
        <w:rPr>
          <w:lang w:val="hr-HR"/>
        </w:rPr>
        <w:t>Istovremeno se u okviru ovih izvora financiranja smanjuju izdvajanja za potpore za očuvanje radnih mjesta u djelatnostima pogođenima koronavirusom u 2021. godini u odnosu na tekući plan 2020. za 4,5 milijardi kuna.</w:t>
      </w:r>
    </w:p>
    <w:p w:rsidR="00527791" w:rsidRPr="00527791" w:rsidRDefault="00527791" w:rsidP="00527791">
      <w:pPr>
        <w:jc w:val="both"/>
        <w:rPr>
          <w:lang w:val="hr-HR"/>
        </w:rPr>
      </w:pPr>
      <w:r w:rsidRPr="00527791">
        <w:rPr>
          <w:lang w:val="hr-HR"/>
        </w:rPr>
        <w:t>Preostali rast rashoda odnosi se na rashode financirane iz vlastitih i namjenskih izvora (uključujući EU pomoći) i najvećim dijelom rezultat je povećanja sredstava koja se izdvajaju za aktivnosti i projekte financirane iz EU sredstava i to za mjere usmjerene saniranju posljedica od potresa (koje se financiraju iz Fonda solidarnosti EU), potpore za očuvanje radnih mjesta u djelatnostima pogođenima koronavirusom (koje se financiraju iz fonda React EU) i sredstva za provedbu projekata u okviru operativnih programa Konkurentnost i kohezija i Učinkoviti ljudski potencijali.</w:t>
      </w:r>
    </w:p>
    <w:p w:rsidR="00984E44" w:rsidRPr="00F70B2A" w:rsidRDefault="00527791" w:rsidP="00527791">
      <w:pPr>
        <w:jc w:val="both"/>
        <w:rPr>
          <w:lang w:val="hr-HR"/>
        </w:rPr>
      </w:pPr>
      <w:r w:rsidRPr="00527791">
        <w:rPr>
          <w:lang w:val="hr-HR"/>
        </w:rPr>
        <w:t>U nastavku se daje pregled kretanja rashoda državnog proračuna u razdoblju 2019. - 2023. po ekonomskoj klasifikaciji.</w:t>
      </w:r>
    </w:p>
    <w:p w:rsidR="00C8194C" w:rsidRPr="00527791" w:rsidRDefault="00527791" w:rsidP="00527791">
      <w:pPr>
        <w:spacing w:before="240" w:after="240" w:line="240" w:lineRule="auto"/>
        <w:jc w:val="both"/>
        <w:rPr>
          <w:i/>
          <w:lang w:val="hr-HR"/>
        </w:rPr>
      </w:pPr>
      <w:r w:rsidRPr="00F70B2A">
        <w:rPr>
          <w:i/>
          <w:lang w:val="hr-HR"/>
        </w:rPr>
        <w:t xml:space="preserve">Tablica </w:t>
      </w:r>
      <w:r w:rsidRPr="00F70B2A">
        <w:rPr>
          <w:i/>
          <w:lang w:val="hr-HR"/>
        </w:rPr>
        <w:fldChar w:fldCharType="begin"/>
      </w:r>
      <w:r w:rsidRPr="00F70B2A">
        <w:rPr>
          <w:i/>
          <w:lang w:val="hr-HR"/>
        </w:rPr>
        <w:instrText xml:space="preserve"> SEQ Tablica \* ARABIC </w:instrText>
      </w:r>
      <w:r w:rsidRPr="00F70B2A">
        <w:rPr>
          <w:i/>
          <w:lang w:val="hr-HR"/>
        </w:rPr>
        <w:fldChar w:fldCharType="separate"/>
      </w:r>
      <w:r w:rsidR="00B5313A">
        <w:rPr>
          <w:i/>
          <w:noProof/>
          <w:lang w:val="hr-HR"/>
        </w:rPr>
        <w:t>6</w:t>
      </w:r>
      <w:r w:rsidRPr="00F70B2A">
        <w:rPr>
          <w:i/>
          <w:lang w:val="hr-HR"/>
        </w:rPr>
        <w:fldChar w:fldCharType="end"/>
      </w:r>
      <w:r w:rsidRPr="00F70B2A">
        <w:rPr>
          <w:i/>
          <w:lang w:val="hr-HR"/>
        </w:rPr>
        <w:t xml:space="preserve">: </w:t>
      </w:r>
      <w:r w:rsidRPr="00527791">
        <w:rPr>
          <w:i/>
          <w:lang w:val="hr-HR"/>
        </w:rPr>
        <w:t>Kretanje rashoda državnog proračuna koji se financiraju iz općih prihoda i primitaka, doprinosa i namjenskih primitaka u razdoblju 2019. - 2023.</w:t>
      </w:r>
    </w:p>
    <w:p w:rsidR="00C8194C" w:rsidRDefault="00FA15E4" w:rsidP="00695821">
      <w:pPr>
        <w:rPr>
          <w:lang w:val="hr-HR"/>
        </w:rPr>
      </w:pPr>
      <w:r w:rsidRPr="00FA15E4">
        <w:rPr>
          <w:noProof/>
          <w:lang w:val="hr-HR" w:eastAsia="hr-HR"/>
        </w:rPr>
        <w:drawing>
          <wp:inline distT="0" distB="0" distL="0" distR="0">
            <wp:extent cx="5760720" cy="2030068"/>
            <wp:effectExtent l="0" t="0" r="0" b="889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030068"/>
                    </a:xfrm>
                    <a:prstGeom prst="rect">
                      <a:avLst/>
                    </a:prstGeom>
                    <a:noFill/>
                    <a:ln>
                      <a:noFill/>
                    </a:ln>
                  </pic:spPr>
                </pic:pic>
              </a:graphicData>
            </a:graphic>
          </wp:inline>
        </w:drawing>
      </w:r>
    </w:p>
    <w:p w:rsidR="00FA15E4" w:rsidRDefault="00FA15E4" w:rsidP="00695821">
      <w:pPr>
        <w:rPr>
          <w:lang w:val="hr-HR"/>
        </w:rPr>
      </w:pPr>
    </w:p>
    <w:p w:rsidR="00FA15E4" w:rsidRDefault="00FA15E4" w:rsidP="00695821">
      <w:pPr>
        <w:rPr>
          <w:lang w:val="hr-HR"/>
        </w:rPr>
      </w:pPr>
    </w:p>
    <w:p w:rsidR="00FA15E4" w:rsidRDefault="00FA15E4" w:rsidP="00695821">
      <w:pPr>
        <w:rPr>
          <w:lang w:val="hr-HR"/>
        </w:rPr>
      </w:pPr>
    </w:p>
    <w:p w:rsidR="00FA15E4" w:rsidRDefault="00FA15E4" w:rsidP="00695821">
      <w:pPr>
        <w:rPr>
          <w:lang w:val="hr-HR"/>
        </w:rPr>
      </w:pPr>
    </w:p>
    <w:p w:rsidR="00FA15E4" w:rsidRDefault="00FA15E4" w:rsidP="00695821">
      <w:pPr>
        <w:rPr>
          <w:lang w:val="hr-HR"/>
        </w:rPr>
      </w:pPr>
    </w:p>
    <w:p w:rsidR="00FA15E4" w:rsidRPr="00FA15E4" w:rsidRDefault="00FA15E4" w:rsidP="00FA15E4">
      <w:pPr>
        <w:spacing w:after="0" w:line="240" w:lineRule="auto"/>
        <w:jc w:val="both"/>
        <w:rPr>
          <w:rFonts w:ascii="Calibri" w:hAnsi="Calibri" w:cs="Calibri"/>
          <w:i/>
          <w:sz w:val="24"/>
          <w:szCs w:val="24"/>
          <w:lang w:val="hr-HR"/>
        </w:rPr>
      </w:pPr>
      <w:r w:rsidRPr="00F70B2A">
        <w:rPr>
          <w:i/>
          <w:lang w:val="hr-HR"/>
        </w:rPr>
        <w:t xml:space="preserve">Tablica </w:t>
      </w:r>
      <w:r w:rsidRPr="00F70B2A">
        <w:rPr>
          <w:i/>
          <w:lang w:val="hr-HR"/>
        </w:rPr>
        <w:fldChar w:fldCharType="begin"/>
      </w:r>
      <w:r w:rsidRPr="00F70B2A">
        <w:rPr>
          <w:i/>
          <w:lang w:val="hr-HR"/>
        </w:rPr>
        <w:instrText xml:space="preserve"> SEQ Tablica \* ARABIC </w:instrText>
      </w:r>
      <w:r w:rsidRPr="00F70B2A">
        <w:rPr>
          <w:i/>
          <w:lang w:val="hr-HR"/>
        </w:rPr>
        <w:fldChar w:fldCharType="separate"/>
      </w:r>
      <w:r w:rsidR="00B5313A">
        <w:rPr>
          <w:i/>
          <w:noProof/>
          <w:lang w:val="hr-HR"/>
        </w:rPr>
        <w:t>7</w:t>
      </w:r>
      <w:r w:rsidRPr="00F70B2A">
        <w:rPr>
          <w:i/>
          <w:lang w:val="hr-HR"/>
        </w:rPr>
        <w:fldChar w:fldCharType="end"/>
      </w:r>
      <w:r w:rsidRPr="00F70B2A">
        <w:rPr>
          <w:i/>
          <w:lang w:val="hr-HR"/>
        </w:rPr>
        <w:t xml:space="preserve">: </w:t>
      </w:r>
      <w:r w:rsidRPr="00FA15E4">
        <w:rPr>
          <w:rFonts w:ascii="Calibri" w:hAnsi="Calibri" w:cs="Calibri"/>
          <w:i/>
          <w:sz w:val="24"/>
          <w:szCs w:val="24"/>
          <w:lang w:val="hr-HR"/>
        </w:rPr>
        <w:t>Kretanje rashoda državnog proračuna koji se financiraju iz vlastitih prihoda, prihoda za posebne namjene, pomoći i donacija u razdoblju 2019. - 2023.</w:t>
      </w:r>
    </w:p>
    <w:p w:rsidR="00FA15E4" w:rsidRDefault="00FA15E4" w:rsidP="00695821">
      <w:pPr>
        <w:rPr>
          <w:lang w:val="hr-HR"/>
        </w:rPr>
      </w:pPr>
      <w:r w:rsidRPr="00FA15E4">
        <w:rPr>
          <w:noProof/>
          <w:lang w:val="hr-HR" w:eastAsia="hr-HR"/>
        </w:rPr>
        <w:drawing>
          <wp:inline distT="0" distB="0" distL="0" distR="0">
            <wp:extent cx="5760720" cy="2030068"/>
            <wp:effectExtent l="0" t="0" r="0" b="889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030068"/>
                    </a:xfrm>
                    <a:prstGeom prst="rect">
                      <a:avLst/>
                    </a:prstGeom>
                    <a:noFill/>
                    <a:ln>
                      <a:noFill/>
                    </a:ln>
                  </pic:spPr>
                </pic:pic>
              </a:graphicData>
            </a:graphic>
          </wp:inline>
        </w:drawing>
      </w:r>
    </w:p>
    <w:p w:rsidR="00FA15E4" w:rsidRPr="00FA15E4" w:rsidRDefault="00FA15E4" w:rsidP="00FA15E4">
      <w:pPr>
        <w:jc w:val="both"/>
        <w:rPr>
          <w:lang w:val="hr-HR"/>
        </w:rPr>
      </w:pPr>
      <w:r w:rsidRPr="00FA15E4">
        <w:rPr>
          <w:lang w:val="hr-HR"/>
        </w:rPr>
        <w:t xml:space="preserve">U nastavku se daje prikaz kretanja rashoda državnog proračuna u razdoblju 2019. - 2023. po izvorima financiranja. Naime, proračunske klasifikacije čine okvir kojim se iskazuju i sustavno prate prihodi i primici te rashodi i izdaci po nositelju, cilju, namjeni, vrsti, lokaciji i izvoru financiranja. Izvori financiranja sadrže prihode i primitke iz kojih se podmiruju rashodi i izdaci određene vrste i namjene. S obzirom na sve veću zastupljenost EU sredstava u ukupnim prihodima, a time i proračunskim rashodima, ova klasifikacija postaje sve značajnija. </w:t>
      </w:r>
    </w:p>
    <w:p w:rsidR="00FA15E4" w:rsidRDefault="00FA15E4" w:rsidP="00FA15E4">
      <w:pPr>
        <w:jc w:val="both"/>
        <w:rPr>
          <w:lang w:val="hr-HR"/>
        </w:rPr>
      </w:pPr>
      <w:r w:rsidRPr="00FA15E4">
        <w:rPr>
          <w:lang w:val="hr-HR"/>
        </w:rPr>
        <w:t>U sljedećem trogodišnjem razdoblju Republici Hrvatskoj su na raspolaganju sredstva Fonda solidarnosti u ukupnom iznosu od 683,7 milijuna EUR-a kojima se može financirati obnova javnih zgrada oštećenih u potresu,  fonda React EU -  bespovratna sredstva za financiranje COVID mjera (pomoć u likvidnosti gospodarstvu, zadržavanje radnih mjesta i ulaganja u zdravstvo) te bespovratna sredstva Mehanizama za oporavak i otpornost u iznosu od 5,94 milijarde EUR-a. Sredstva Fonda solidarnosti manjim dijelom planirana su u okviru Prijedloga Izmjena i dopuna Državnog proračuna za 2020. godinu, a preostali iznos planira se u 2021. i 2022. godini. Sredstva React EU (izvor financiranja 56) planiraju se u cijelosti iskoristiti kroz 2020. i 2021. godinu. Sredstva Mehanizma za oporavak i otpornost odobravaju se na temelju Nacionalnog plana oporavka i otpornosti koji će usvojiti Vlada RH (u daljnjem tekstu: Nacionalni plan) i mogu se koristiti do srpnja 2026. godine za financiranje ulaganja i reformi  kojima se ubrzava oporavak te povećava otpornost gospodarstava. Budući da je Nacionalni plan u izradi trenutno je proračunom predviđeno isključivo ono što je izvjesno da će se financirati iz navedenog Mehanizma. Podsjećamo kako se sukladno odredbama Zakona o proračunu u okviru izvora financiranja pomoći mogu naknadno otvarati proračunske aktivnosti i stavke te će se iste i otvoriti nakon odobrenja Nacionalnog plana od strane Europske komisije.</w:t>
      </w:r>
    </w:p>
    <w:p w:rsidR="00FA15E4" w:rsidRDefault="00FA15E4" w:rsidP="00695821">
      <w:pPr>
        <w:rPr>
          <w:lang w:val="hr-HR"/>
        </w:rPr>
      </w:pPr>
    </w:p>
    <w:p w:rsidR="00095377" w:rsidRDefault="00095377" w:rsidP="00695821">
      <w:pPr>
        <w:rPr>
          <w:lang w:val="hr-HR"/>
        </w:rPr>
      </w:pPr>
    </w:p>
    <w:p w:rsidR="00095377" w:rsidRDefault="00095377" w:rsidP="00695821">
      <w:pPr>
        <w:rPr>
          <w:lang w:val="hr-HR"/>
        </w:rPr>
      </w:pPr>
    </w:p>
    <w:p w:rsidR="00095377" w:rsidRDefault="00095377" w:rsidP="00695821">
      <w:pPr>
        <w:rPr>
          <w:lang w:val="hr-HR"/>
        </w:rPr>
      </w:pPr>
    </w:p>
    <w:p w:rsidR="00095377" w:rsidRDefault="00095377" w:rsidP="00695821">
      <w:pPr>
        <w:rPr>
          <w:lang w:val="hr-HR"/>
        </w:rPr>
      </w:pPr>
    </w:p>
    <w:p w:rsidR="00095377" w:rsidRDefault="00095377" w:rsidP="00695821">
      <w:pPr>
        <w:rPr>
          <w:lang w:val="hr-HR"/>
        </w:rPr>
      </w:pPr>
    </w:p>
    <w:p w:rsidR="003750F6" w:rsidRDefault="00BC27DE" w:rsidP="003750F6">
      <w:pPr>
        <w:spacing w:before="240" w:after="0" w:line="240" w:lineRule="auto"/>
        <w:jc w:val="both"/>
        <w:rPr>
          <w:i/>
          <w:lang w:val="hr-HR"/>
        </w:rPr>
      </w:pPr>
      <w:bookmarkStart w:id="26" w:name="_Toc445241792"/>
      <w:r w:rsidRPr="00F70B2A">
        <w:rPr>
          <w:i/>
          <w:lang w:val="hr-HR"/>
        </w:rPr>
        <w:t xml:space="preserve">Tablica </w:t>
      </w:r>
      <w:r w:rsidRPr="00F70B2A">
        <w:rPr>
          <w:i/>
          <w:lang w:val="hr-HR"/>
        </w:rPr>
        <w:fldChar w:fldCharType="begin"/>
      </w:r>
      <w:r w:rsidRPr="00F70B2A">
        <w:rPr>
          <w:i/>
          <w:lang w:val="hr-HR"/>
        </w:rPr>
        <w:instrText xml:space="preserve"> SEQ Tablica \* ARABIC </w:instrText>
      </w:r>
      <w:r w:rsidRPr="00F70B2A">
        <w:rPr>
          <w:i/>
          <w:lang w:val="hr-HR"/>
        </w:rPr>
        <w:fldChar w:fldCharType="separate"/>
      </w:r>
      <w:r w:rsidR="00B5313A">
        <w:rPr>
          <w:i/>
          <w:noProof/>
          <w:lang w:val="hr-HR"/>
        </w:rPr>
        <w:t>8</w:t>
      </w:r>
      <w:r w:rsidRPr="00F70B2A">
        <w:rPr>
          <w:i/>
          <w:lang w:val="hr-HR"/>
        </w:rPr>
        <w:fldChar w:fldCharType="end"/>
      </w:r>
      <w:r w:rsidRPr="00F70B2A">
        <w:rPr>
          <w:i/>
          <w:lang w:val="hr-HR"/>
        </w:rPr>
        <w:t xml:space="preserve">: </w:t>
      </w:r>
      <w:r w:rsidR="00C8194C" w:rsidRPr="00F70B2A">
        <w:rPr>
          <w:i/>
          <w:lang w:val="hr-HR"/>
        </w:rPr>
        <w:t>Kretanje rashoda državnog proračuna u razdoblju 2018. - 2022. po izvorima financiranja</w:t>
      </w:r>
    </w:p>
    <w:p w:rsidR="00960F86" w:rsidRPr="00F70B2A" w:rsidRDefault="00095377" w:rsidP="003750F6">
      <w:pPr>
        <w:spacing w:before="240" w:after="0" w:line="240" w:lineRule="auto"/>
        <w:jc w:val="both"/>
        <w:rPr>
          <w:i/>
          <w:lang w:val="hr-HR"/>
        </w:rPr>
      </w:pPr>
      <w:r w:rsidRPr="00095377">
        <w:rPr>
          <w:noProof/>
          <w:lang w:val="hr-HR" w:eastAsia="hr-HR"/>
        </w:rPr>
        <w:drawing>
          <wp:inline distT="0" distB="0" distL="0" distR="0">
            <wp:extent cx="5760720" cy="7872019"/>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7872019"/>
                    </a:xfrm>
                    <a:prstGeom prst="rect">
                      <a:avLst/>
                    </a:prstGeom>
                    <a:noFill/>
                    <a:ln>
                      <a:noFill/>
                    </a:ln>
                  </pic:spPr>
                </pic:pic>
              </a:graphicData>
            </a:graphic>
          </wp:inline>
        </w:drawing>
      </w:r>
    </w:p>
    <w:p w:rsidR="00BE094B" w:rsidRDefault="00BC27DE" w:rsidP="00BC27DE">
      <w:pPr>
        <w:rPr>
          <w:i/>
          <w:sz w:val="20"/>
          <w:lang w:val="hr-HR"/>
        </w:rPr>
      </w:pPr>
      <w:r w:rsidRPr="00F70B2A">
        <w:rPr>
          <w:i/>
          <w:sz w:val="20"/>
          <w:lang w:val="hr-HR"/>
        </w:rPr>
        <w:t>Izvor: Ministarstvo financija</w:t>
      </w:r>
    </w:p>
    <w:p w:rsidR="00960F86" w:rsidRDefault="00960F86" w:rsidP="00BC27DE">
      <w:pPr>
        <w:rPr>
          <w:i/>
          <w:sz w:val="20"/>
          <w:lang w:val="hr-HR"/>
        </w:rPr>
      </w:pPr>
      <w:r>
        <w:rPr>
          <w:i/>
          <w:sz w:val="20"/>
          <w:lang w:val="hr-HR"/>
        </w:rPr>
        <w:br w:type="page"/>
      </w:r>
    </w:p>
    <w:p w:rsidR="00695821" w:rsidRPr="00F70B2A" w:rsidRDefault="007E4D7B" w:rsidP="0029489C">
      <w:pPr>
        <w:pStyle w:val="Heading2"/>
        <w:numPr>
          <w:ilvl w:val="1"/>
          <w:numId w:val="16"/>
        </w:numPr>
        <w:ind w:left="993" w:hanging="567"/>
        <w:rPr>
          <w:lang w:val="hr-HR"/>
        </w:rPr>
      </w:pPr>
      <w:bookmarkStart w:id="27" w:name="_Toc54858238"/>
      <w:bookmarkEnd w:id="26"/>
      <w:r w:rsidRPr="00F70B2A">
        <w:rPr>
          <w:lang w:val="hr-HR"/>
        </w:rPr>
        <w:t>Obrazloženje rashoda po ekonomskoj klasifikaciji</w:t>
      </w:r>
      <w:bookmarkEnd w:id="27"/>
    </w:p>
    <w:p w:rsidR="000146B7" w:rsidRPr="00F70B2A" w:rsidRDefault="000146B7" w:rsidP="00BB1B39">
      <w:pPr>
        <w:jc w:val="both"/>
        <w:rPr>
          <w:b/>
          <w:i/>
          <w:lang w:val="hr-HR"/>
        </w:rPr>
      </w:pPr>
    </w:p>
    <w:p w:rsidR="00C8194C" w:rsidRDefault="00C8194C" w:rsidP="00D668A6">
      <w:pPr>
        <w:spacing w:after="120"/>
        <w:jc w:val="both"/>
        <w:rPr>
          <w:b/>
          <w:i/>
          <w:lang w:val="hr-HR"/>
        </w:rPr>
      </w:pPr>
      <w:r w:rsidRPr="00F70B2A">
        <w:rPr>
          <w:b/>
          <w:i/>
          <w:lang w:val="hr-HR"/>
        </w:rPr>
        <w:t>Rashodi za zaposlene</w:t>
      </w:r>
    </w:p>
    <w:p w:rsidR="00095377" w:rsidRPr="00095377" w:rsidRDefault="00095377" w:rsidP="00095377">
      <w:pPr>
        <w:spacing w:after="120"/>
        <w:jc w:val="both"/>
        <w:rPr>
          <w:lang w:val="hr-HR"/>
        </w:rPr>
      </w:pPr>
      <w:r w:rsidRPr="00095377">
        <w:rPr>
          <w:lang w:val="hr-HR"/>
        </w:rPr>
        <w:t xml:space="preserve">Ukupni rashodi za zaposlene u 2021. godini planiraju se u iznosu od 23,8 milijardi kuna i u odnosu na tekući plan 2020. godine bilježe rast od 1,4 milijarde kuna. </w:t>
      </w:r>
    </w:p>
    <w:p w:rsidR="00095377" w:rsidRPr="00095377" w:rsidRDefault="00095377" w:rsidP="00095377">
      <w:pPr>
        <w:spacing w:after="120"/>
        <w:jc w:val="both"/>
        <w:rPr>
          <w:lang w:val="hr-HR"/>
        </w:rPr>
      </w:pPr>
      <w:r w:rsidRPr="00095377">
        <w:rPr>
          <w:lang w:val="hr-HR"/>
        </w:rPr>
        <w:t xml:space="preserve">Ovi rashodi financirani iz općih prihoda i primitaka, doprinosa i namjenskih primitaka povećavaju se za 721,4 milijuna kuna u odnosu na tekući plan 2020. godine i iznose ukupno 17,5 milijardi kuna. </w:t>
      </w:r>
    </w:p>
    <w:p w:rsidR="00095377" w:rsidRPr="00095377" w:rsidRDefault="00095377" w:rsidP="00095377">
      <w:pPr>
        <w:spacing w:after="120"/>
        <w:jc w:val="both"/>
        <w:rPr>
          <w:lang w:val="hr-HR"/>
        </w:rPr>
      </w:pPr>
      <w:r w:rsidRPr="00095377">
        <w:rPr>
          <w:lang w:val="hr-HR"/>
        </w:rPr>
        <w:t>Rashodi za zaposlene financirani iz EU sredstava planiraju se na razini od 605,9 milijuna kuna i bilježe rast od 92,5 milijuna kuna u odnosu na tekući plan 2020. godine obzirom da se dio plaća djelatnika koji sudjeluju u sustavu upravljanja i kontrole korištenja EU fondova sufinancira iz EU sredstava (kroz prioritet Tehničke pomoći u pojedinom Operativnom programu). Rashodi za zaposlene financirani iz ostalih izvora povećavaju se za 589,7 milijuna kuna u odnosu na tekući plan 2020. godine. Od toga se najveće povećanje odnosi na rashode za zaposlene u ustanovama u zdravstvu u državnom vlasništvu. Ovi rashodi od 2021. uključuju i rashode za zaposlene Nacionalne memorijalne bolnice Vukovar kojoj je tijekom 2020. godine, umjesto Vukovarsko-srijemske županije, osnivač postala Republika Hrvatska kao i rashode lučkih uprava koje od 1. siječnja 2021. postaju proračunski korisnici državnog proračuna.</w:t>
      </w:r>
    </w:p>
    <w:p w:rsidR="00095377" w:rsidRPr="00095377" w:rsidRDefault="00095377" w:rsidP="00095377">
      <w:pPr>
        <w:spacing w:after="120"/>
        <w:jc w:val="both"/>
        <w:rPr>
          <w:lang w:val="hr-HR"/>
        </w:rPr>
      </w:pPr>
      <w:r w:rsidRPr="00095377">
        <w:rPr>
          <w:lang w:val="hr-HR"/>
        </w:rPr>
        <w:t>U 2022. i 2023. godini očekuje se daljnje povećanje ovih rashoda na razinu od 24,1 milijardu kuna, odnosno 24,3 milijarde kuna.</w:t>
      </w:r>
    </w:p>
    <w:p w:rsidR="00095377" w:rsidRPr="00095377" w:rsidRDefault="00095377" w:rsidP="00095377">
      <w:pPr>
        <w:spacing w:after="120"/>
        <w:jc w:val="both"/>
        <w:rPr>
          <w:lang w:val="hr-HR"/>
        </w:rPr>
      </w:pPr>
    </w:p>
    <w:p w:rsidR="00095377" w:rsidRPr="00095377" w:rsidRDefault="00095377" w:rsidP="00095377">
      <w:pPr>
        <w:spacing w:after="120"/>
        <w:jc w:val="both"/>
        <w:rPr>
          <w:b/>
          <w:i/>
          <w:lang w:val="hr-HR"/>
        </w:rPr>
      </w:pPr>
      <w:r w:rsidRPr="00095377">
        <w:rPr>
          <w:b/>
          <w:i/>
          <w:lang w:val="hr-HR"/>
        </w:rPr>
        <w:t>Materijalni rashodi</w:t>
      </w:r>
    </w:p>
    <w:p w:rsidR="00095377" w:rsidRPr="00095377" w:rsidRDefault="00095377" w:rsidP="00095377">
      <w:pPr>
        <w:spacing w:after="120"/>
        <w:jc w:val="both"/>
        <w:rPr>
          <w:lang w:val="hr-HR"/>
        </w:rPr>
      </w:pPr>
      <w:r w:rsidRPr="00095377">
        <w:rPr>
          <w:lang w:val="hr-HR"/>
        </w:rPr>
        <w:t xml:space="preserve">Ukupni materijalni rashodi u 2021. godini planiraju se u iznosu od 17,2 milijarde kuna. Od navedenog iznosa, 7,5 milijardi kuna su materijalni rashodi koji se financiraju iz općih prihoda i primitaka, doprinosa i namjenskih primitaka, a koji u odnosu na 2020. godinu rastu za 531,5 milijuna kuna, odnosno 7,6 %, prvenstveno zbog sanacije šteta uzrokovanih potresom, dok se preostali dio povećanja najvećim dijelom odnosi na Ministarstvo obrane i Ministarstvo unutarnjih poslova. </w:t>
      </w:r>
    </w:p>
    <w:p w:rsidR="00095377" w:rsidRPr="00095377" w:rsidRDefault="00095377" w:rsidP="00095377">
      <w:pPr>
        <w:spacing w:after="120"/>
        <w:jc w:val="both"/>
        <w:rPr>
          <w:lang w:val="hr-HR"/>
        </w:rPr>
      </w:pPr>
      <w:r w:rsidRPr="00095377">
        <w:rPr>
          <w:lang w:val="hr-HR"/>
        </w:rPr>
        <w:t xml:space="preserve">Materijalni rashodi koji se financiraju iz EU i ostalih izvora financiranja u 2021. godini projicirani su na razini od 9,7 milijardi kuna i povećavaju se za 2,4 milijarde kuna, od čega se najveće povećanje također odnosi na  sanaciju šteta uzrokovanih potresom, na materijalne rashode u ustanovama u zdravstvu u državnom vlasništvu (lijekovi, pomoćni i sanitetski materijal te ostalo) te na očekivanu dinamiku korištenja sredstava EU dostupnih u okviru Operativnog programa konkurentnost i kohezija. </w:t>
      </w:r>
    </w:p>
    <w:p w:rsidR="00095377" w:rsidRPr="00095377" w:rsidRDefault="00095377" w:rsidP="00095377">
      <w:pPr>
        <w:spacing w:after="120"/>
        <w:jc w:val="both"/>
        <w:rPr>
          <w:lang w:val="hr-HR"/>
        </w:rPr>
      </w:pPr>
      <w:r w:rsidRPr="00095377">
        <w:rPr>
          <w:lang w:val="hr-HR"/>
        </w:rPr>
        <w:t xml:space="preserve">U 2022. i 2023. godini ukupni materijalni rashodi projicirani su na razini od 18,2, odnosno 17,3 milijarde kuna. </w:t>
      </w:r>
    </w:p>
    <w:p w:rsidR="00095377" w:rsidRPr="00095377" w:rsidRDefault="00095377" w:rsidP="00095377">
      <w:pPr>
        <w:spacing w:after="120"/>
        <w:jc w:val="both"/>
        <w:rPr>
          <w:lang w:val="hr-HR"/>
        </w:rPr>
      </w:pPr>
    </w:p>
    <w:p w:rsidR="00095377" w:rsidRPr="00095377" w:rsidRDefault="00095377" w:rsidP="00095377">
      <w:pPr>
        <w:spacing w:after="120"/>
        <w:jc w:val="both"/>
        <w:rPr>
          <w:b/>
          <w:i/>
          <w:lang w:val="hr-HR"/>
        </w:rPr>
      </w:pPr>
      <w:r w:rsidRPr="00095377">
        <w:rPr>
          <w:b/>
          <w:i/>
          <w:lang w:val="hr-HR"/>
        </w:rPr>
        <w:t>Financijski rashodi</w:t>
      </w:r>
    </w:p>
    <w:p w:rsidR="00095377" w:rsidRPr="00095377" w:rsidRDefault="00095377" w:rsidP="00095377">
      <w:pPr>
        <w:spacing w:after="120"/>
        <w:jc w:val="both"/>
        <w:rPr>
          <w:lang w:val="hr-HR"/>
        </w:rPr>
      </w:pPr>
      <w:r w:rsidRPr="00095377">
        <w:rPr>
          <w:lang w:val="hr-HR"/>
        </w:rPr>
        <w:t xml:space="preserve">Financijski rashodi, koje čine kamate za izdane vrijednosne papire, kamate za primljene zajmove i ostali financijski rashodi, projicirani su u skladu sa stanjem uvjeta na financijskim tržištima, odnosno troškovima servisiranja javnog duga. Ovi rashodi u 2021. godini planirani su na razini od 7,8 milijardi kuna. </w:t>
      </w:r>
    </w:p>
    <w:p w:rsidR="00095377" w:rsidRPr="00095377" w:rsidRDefault="00095377" w:rsidP="00095377">
      <w:pPr>
        <w:spacing w:after="120"/>
        <w:jc w:val="both"/>
        <w:rPr>
          <w:lang w:val="hr-HR"/>
        </w:rPr>
      </w:pPr>
      <w:r w:rsidRPr="00095377">
        <w:rPr>
          <w:lang w:val="hr-HR"/>
        </w:rPr>
        <w:t>U 2022. financijski rashodi projicirani su u iznosu od 7,3 milijarde kuna, a u 2023. godini na razini od 6,1 milijardu kuna.</w:t>
      </w:r>
    </w:p>
    <w:p w:rsidR="00095377" w:rsidRPr="00095377" w:rsidRDefault="00095377" w:rsidP="00095377">
      <w:pPr>
        <w:spacing w:after="120"/>
        <w:jc w:val="both"/>
        <w:rPr>
          <w:lang w:val="hr-HR"/>
        </w:rPr>
      </w:pPr>
    </w:p>
    <w:p w:rsidR="00095377" w:rsidRPr="00095377" w:rsidRDefault="00095377" w:rsidP="00095377">
      <w:pPr>
        <w:spacing w:after="120"/>
        <w:jc w:val="both"/>
        <w:rPr>
          <w:b/>
          <w:i/>
          <w:lang w:val="hr-HR"/>
        </w:rPr>
      </w:pPr>
      <w:r w:rsidRPr="00095377">
        <w:rPr>
          <w:b/>
          <w:i/>
          <w:lang w:val="hr-HR"/>
        </w:rPr>
        <w:t>Subvencije</w:t>
      </w:r>
    </w:p>
    <w:p w:rsidR="00095377" w:rsidRPr="00095377" w:rsidRDefault="00095377" w:rsidP="00095377">
      <w:pPr>
        <w:spacing w:after="120"/>
        <w:jc w:val="both"/>
        <w:rPr>
          <w:lang w:val="hr-HR"/>
        </w:rPr>
      </w:pPr>
      <w:r w:rsidRPr="00095377">
        <w:rPr>
          <w:lang w:val="hr-HR"/>
        </w:rPr>
        <w:t xml:space="preserve">Rashodi za subvencije u 2021. godini planiraju se u iznosu od 8,9 milijardi kuna što predstavlja smanjenje od 4,4 milijarde kuna u odnosu na tekući plan 2020. godine. Navedeno smanjenje rezultat je smanjenih ukupnih izdvajanja za potpore za očuvanje radnih mjesta u djelatnostima pogođenima koronavirusom. Naime u 2020. godini za ove potpore ukupno je planirano 6,7 milijardi kuna (iz izvora financiranja opći prihodi i primici, doprinosi i namjenskih primici 4,7 milijardi kuna), dok se ove subvencije u 2021. godini planiraju u ukupnom iznosu od 2,2 milijarde kuna i to gotovo u cijelosti iz fonda React EU. </w:t>
      </w:r>
    </w:p>
    <w:p w:rsidR="00095377" w:rsidRPr="00095377" w:rsidRDefault="00095377" w:rsidP="00095377">
      <w:pPr>
        <w:spacing w:after="120"/>
        <w:jc w:val="both"/>
        <w:rPr>
          <w:lang w:val="hr-HR"/>
        </w:rPr>
      </w:pPr>
      <w:r w:rsidRPr="00095377">
        <w:rPr>
          <w:lang w:val="hr-HR"/>
        </w:rPr>
        <w:t xml:space="preserve">Od ukupnih rashoda za subvencije najznačajniji dio odnosi se na izravna plaćanja u poljoprivredi i mjere uređenja tržišta poljoprivrednih proizvoda koje se u 2021. godini planiraju na razini od 3,2 milijarde kuna. </w:t>
      </w:r>
    </w:p>
    <w:p w:rsidR="00095377" w:rsidRPr="00095377" w:rsidRDefault="00095377" w:rsidP="00095377">
      <w:pPr>
        <w:spacing w:after="120"/>
        <w:jc w:val="both"/>
        <w:rPr>
          <w:lang w:val="hr-HR"/>
        </w:rPr>
      </w:pPr>
      <w:r w:rsidRPr="00095377">
        <w:rPr>
          <w:lang w:val="hr-HR"/>
        </w:rPr>
        <w:t>Ovi rashodi u 2022. i 2023. godini projicirani su na razini od 7,4 milijarde kuna, odnosno 7,5 milijardi kuna.</w:t>
      </w:r>
    </w:p>
    <w:p w:rsidR="00095377" w:rsidRPr="00095377" w:rsidRDefault="00095377" w:rsidP="00095377">
      <w:pPr>
        <w:spacing w:after="120"/>
        <w:jc w:val="both"/>
        <w:rPr>
          <w:lang w:val="hr-HR"/>
        </w:rPr>
      </w:pPr>
    </w:p>
    <w:p w:rsidR="00095377" w:rsidRPr="00095377" w:rsidRDefault="00095377" w:rsidP="00095377">
      <w:pPr>
        <w:spacing w:after="120"/>
        <w:jc w:val="both"/>
        <w:rPr>
          <w:b/>
          <w:i/>
          <w:lang w:val="hr-HR"/>
        </w:rPr>
      </w:pPr>
      <w:r w:rsidRPr="00095377">
        <w:rPr>
          <w:b/>
          <w:i/>
          <w:lang w:val="hr-HR"/>
        </w:rPr>
        <w:t xml:space="preserve">Pomoći </w:t>
      </w:r>
    </w:p>
    <w:p w:rsidR="00095377" w:rsidRPr="00095377" w:rsidRDefault="00095377" w:rsidP="00095377">
      <w:pPr>
        <w:spacing w:after="120"/>
        <w:jc w:val="both"/>
        <w:rPr>
          <w:lang w:val="hr-HR"/>
        </w:rPr>
      </w:pPr>
      <w:r w:rsidRPr="00095377">
        <w:rPr>
          <w:lang w:val="hr-HR"/>
        </w:rPr>
        <w:t xml:space="preserve">Rashodi za pomoći državnog proračuna dane u inozemstvo i unutar opće države u 2021. godini predviđeni su u iznosu od 33,9 milijardi kuna. U odnosu na tekući plan 2020. ova kategorija rashoda bilježi rast od 6,5 milijardi kuna. </w:t>
      </w:r>
    </w:p>
    <w:p w:rsidR="00095377" w:rsidRPr="00095377" w:rsidRDefault="00095377" w:rsidP="00095377">
      <w:pPr>
        <w:spacing w:after="120"/>
        <w:jc w:val="both"/>
        <w:rPr>
          <w:lang w:val="hr-HR"/>
        </w:rPr>
      </w:pPr>
      <w:r w:rsidRPr="00095377">
        <w:rPr>
          <w:lang w:val="hr-HR"/>
        </w:rPr>
        <w:t xml:space="preserve">Pomoći koje se financiraju iz općih prihoda i primitaka, doprinosa i namjenskih primitaka u 2021. godini planiraju se u iznosu od 26,3 milijardi kuna, što je za 3,7 milijardi kuna više u odnosu na tekući plan 2020. godine. Pri tome je za pomoć jedinicama lokalne i područne (regionalne) samouprave uslijed planiranih izmjena poreznih propisa u sustavu poreza na dohodak osigurano 2,0 milijarde kuna. </w:t>
      </w:r>
    </w:p>
    <w:p w:rsidR="00095377" w:rsidRPr="00095377" w:rsidRDefault="00095377" w:rsidP="00095377">
      <w:pPr>
        <w:spacing w:after="120"/>
        <w:jc w:val="both"/>
        <w:rPr>
          <w:lang w:val="hr-HR"/>
        </w:rPr>
      </w:pPr>
      <w:r w:rsidRPr="00095377">
        <w:rPr>
          <w:lang w:val="hr-HR"/>
        </w:rPr>
        <w:t>Povećanje uključuje i dodatna izdvajanja za doprinos Republike Hrvatske proračunu Europske unije kao i sredstva izravnanja za decentralizirane funkcije koja ove godine sadrže i ukupna sredstva za pokriće rashoda za decentralizirane funkcije Grada Zagreba, Krapinsko-zagorske županije i Zagrebačke županije sukladno Zakonu o obnovi zgrada oštećenih potresom na području Grada Zagreba, Krapinsko-zagorske županije i Zagrebačke županije. Također, u okviru ove kategorije rashoda iskazuju se sredstva rashoda za zaposlene u osnovnom i srednjem školstvu koja u odnosu na tekući plan 2020. godine bilježe rast od 283,9 milijuna kuna.</w:t>
      </w:r>
    </w:p>
    <w:p w:rsidR="00095377" w:rsidRPr="00095377" w:rsidRDefault="00095377" w:rsidP="00095377">
      <w:pPr>
        <w:spacing w:after="120"/>
        <w:jc w:val="both"/>
        <w:rPr>
          <w:lang w:val="hr-HR"/>
        </w:rPr>
      </w:pPr>
      <w:r w:rsidRPr="00095377">
        <w:rPr>
          <w:lang w:val="hr-HR"/>
        </w:rPr>
        <w:t>Pomoći koje se financiraju iz EU i ostalih izvora financiranja u 2021. planirane su na razini od 7,5 milijardi kuna te se povećavaju u iznosu od 2,8 milijardi kuna u odnosu na tekući plan 2020. godine, prije svega zbog povećanja iskorištenosti sredstava EU dostupnih u okviru Operativnog programa konkurentnost i kohezija u nadležnosti Ministarstva mora, prometa i infrastrukture, Ministarstva gospodarstva i održivog razvoja i Ministarstva regionalnoga razvoja i fondova Europske unije.</w:t>
      </w:r>
    </w:p>
    <w:p w:rsidR="00095377" w:rsidRDefault="00095377" w:rsidP="00095377">
      <w:pPr>
        <w:spacing w:after="120"/>
        <w:jc w:val="both"/>
        <w:rPr>
          <w:lang w:val="hr-HR"/>
        </w:rPr>
      </w:pPr>
      <w:r w:rsidRPr="00095377">
        <w:rPr>
          <w:lang w:val="hr-HR"/>
        </w:rPr>
        <w:t>U 2022. godini ukupne pomoći projicirane su na razini od 34,9 milijardi kuna, a u 2023. na razini od 34,5 milijardi kuna.</w:t>
      </w:r>
    </w:p>
    <w:p w:rsidR="00F61501" w:rsidRPr="00095377" w:rsidRDefault="00F61501" w:rsidP="00095377">
      <w:pPr>
        <w:spacing w:after="120"/>
        <w:jc w:val="both"/>
        <w:rPr>
          <w:lang w:val="hr-HR"/>
        </w:rPr>
      </w:pPr>
    </w:p>
    <w:p w:rsidR="00095377" w:rsidRPr="00095377" w:rsidRDefault="00095377" w:rsidP="00095377">
      <w:pPr>
        <w:spacing w:after="120"/>
        <w:jc w:val="both"/>
        <w:rPr>
          <w:b/>
          <w:i/>
          <w:lang w:val="hr-HR"/>
        </w:rPr>
      </w:pPr>
      <w:r w:rsidRPr="00095377">
        <w:rPr>
          <w:b/>
          <w:i/>
          <w:lang w:val="hr-HR"/>
        </w:rPr>
        <w:t xml:space="preserve">Naknade građanima i kućanstvima </w:t>
      </w:r>
    </w:p>
    <w:p w:rsidR="00095377" w:rsidRPr="00095377" w:rsidRDefault="00095377" w:rsidP="00095377">
      <w:pPr>
        <w:spacing w:after="120"/>
        <w:jc w:val="both"/>
        <w:rPr>
          <w:lang w:val="hr-HR"/>
        </w:rPr>
      </w:pPr>
      <w:r w:rsidRPr="00095377">
        <w:rPr>
          <w:lang w:val="hr-HR"/>
        </w:rPr>
        <w:t xml:space="preserve">Naknade građanima i kućanstvima čine i u 2021. najznačajniju skupinu rashoda proračuna te se planiraju u iznosu od 52,6 milijardi kuna što čini povećanje od 1,7 milijardi kuna u odnosu na tekući plan 2020. godine. </w:t>
      </w:r>
    </w:p>
    <w:p w:rsidR="00095377" w:rsidRPr="00095377" w:rsidRDefault="00095377" w:rsidP="00095377">
      <w:pPr>
        <w:spacing w:after="120"/>
        <w:jc w:val="both"/>
        <w:rPr>
          <w:lang w:val="hr-HR"/>
        </w:rPr>
      </w:pPr>
      <w:r w:rsidRPr="00095377">
        <w:rPr>
          <w:lang w:val="hr-HR"/>
        </w:rPr>
        <w:t xml:space="preserve">Ovi rashodi uključuju povećana izdvajanja za mirovine u iznosu od 870,3 milijuna kuna koja su rezultat indeksacije po općim i posebnim propisima i očekivanog rasta broja korisnika. </w:t>
      </w:r>
    </w:p>
    <w:p w:rsidR="00095377" w:rsidRDefault="00095377" w:rsidP="00095377">
      <w:pPr>
        <w:spacing w:after="120"/>
        <w:jc w:val="both"/>
        <w:rPr>
          <w:lang w:val="hr-HR"/>
        </w:rPr>
      </w:pPr>
      <w:r w:rsidRPr="00095377">
        <w:rPr>
          <w:lang w:val="hr-HR"/>
        </w:rPr>
        <w:t>U okviru ove kategorije rashoda planiraju se i sredstva za socijalne pomoći i naknade koja se u okviru izvora financiranja koji utječu na rezultat proračuna opće države u odnosu na tekući plan 2020. godine povećavaju za 443,5 milijuna kuna. Ovo povećanje uključuje sredstva za cjelogodišnju primjenu Izmjena zakona o socijalnoj skrbi kojim se naknada za status roditelja njegovatelja i njegovatelja osobe s invaliditetom povećala sa 2.500 na 4.000 kn. Isto tako predviđena su sredstva za provedbu Zakona o nacionalnoj naknadi za starije osobe temeljem kojeg će se od siječnja 2021. godine osobama starijima od 65 godina, koje nisu skupile minimalnih 15 godina radnog staža kao uvjeta za stjecanje mirovine, isplaćivati nacionalna naknada pod uvjetima propisanim Zakonom.</w:t>
      </w:r>
    </w:p>
    <w:p w:rsidR="00095377" w:rsidRDefault="00095377" w:rsidP="00095377">
      <w:pPr>
        <w:spacing w:before="240" w:after="120" w:line="240" w:lineRule="auto"/>
        <w:jc w:val="both"/>
        <w:rPr>
          <w:i/>
          <w:lang w:val="hr-HR"/>
        </w:rPr>
      </w:pPr>
      <w:r w:rsidRPr="00F70B2A">
        <w:rPr>
          <w:i/>
          <w:lang w:val="hr-HR"/>
        </w:rPr>
        <w:t xml:space="preserve">Tablica </w:t>
      </w:r>
      <w:r w:rsidRPr="00F70B2A">
        <w:rPr>
          <w:i/>
          <w:lang w:val="hr-HR"/>
        </w:rPr>
        <w:fldChar w:fldCharType="begin"/>
      </w:r>
      <w:r w:rsidRPr="00F70B2A">
        <w:rPr>
          <w:i/>
          <w:lang w:val="hr-HR"/>
        </w:rPr>
        <w:instrText xml:space="preserve"> SEQ Tablica \* ARABIC </w:instrText>
      </w:r>
      <w:r w:rsidRPr="00F70B2A">
        <w:rPr>
          <w:i/>
          <w:lang w:val="hr-HR"/>
        </w:rPr>
        <w:fldChar w:fldCharType="separate"/>
      </w:r>
      <w:r w:rsidR="00B5313A">
        <w:rPr>
          <w:i/>
          <w:noProof/>
          <w:lang w:val="hr-HR"/>
        </w:rPr>
        <w:t>9</w:t>
      </w:r>
      <w:r w:rsidRPr="00F70B2A">
        <w:rPr>
          <w:i/>
          <w:lang w:val="hr-HR"/>
        </w:rPr>
        <w:fldChar w:fldCharType="end"/>
      </w:r>
      <w:r w:rsidRPr="00F70B2A">
        <w:rPr>
          <w:i/>
          <w:lang w:val="hr-HR"/>
        </w:rPr>
        <w:t xml:space="preserve">: </w:t>
      </w:r>
      <w:r w:rsidR="005A5EA7">
        <w:rPr>
          <w:i/>
          <w:lang w:val="hr-HR"/>
        </w:rPr>
        <w:t>Socijalne pomoći i naknade</w:t>
      </w:r>
      <w:r w:rsidRPr="00F70B2A">
        <w:rPr>
          <w:i/>
          <w:lang w:val="hr-HR"/>
        </w:rPr>
        <w:t xml:space="preserve"> u razdoblju 201</w:t>
      </w:r>
      <w:r w:rsidR="005A5EA7">
        <w:rPr>
          <w:i/>
          <w:lang w:val="hr-HR"/>
        </w:rPr>
        <w:t>9</w:t>
      </w:r>
      <w:r w:rsidRPr="00F70B2A">
        <w:rPr>
          <w:i/>
          <w:lang w:val="hr-HR"/>
        </w:rPr>
        <w:t>. - 202</w:t>
      </w:r>
      <w:r w:rsidR="005A5EA7">
        <w:rPr>
          <w:i/>
          <w:lang w:val="hr-HR"/>
        </w:rPr>
        <w:t>3.</w:t>
      </w:r>
    </w:p>
    <w:p w:rsidR="00095377" w:rsidRDefault="00EB46D2" w:rsidP="00095377">
      <w:pPr>
        <w:spacing w:after="120"/>
        <w:jc w:val="both"/>
        <w:rPr>
          <w:lang w:val="hr-HR"/>
        </w:rPr>
      </w:pPr>
      <w:r w:rsidRPr="00EB46D2">
        <w:rPr>
          <w:noProof/>
          <w:lang w:val="hr-HR" w:eastAsia="hr-HR"/>
        </w:rPr>
        <w:drawing>
          <wp:inline distT="0" distB="0" distL="0" distR="0">
            <wp:extent cx="5760720" cy="1534425"/>
            <wp:effectExtent l="0" t="0" r="0" b="889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534425"/>
                    </a:xfrm>
                    <a:prstGeom prst="rect">
                      <a:avLst/>
                    </a:prstGeom>
                    <a:noFill/>
                    <a:ln>
                      <a:noFill/>
                    </a:ln>
                  </pic:spPr>
                </pic:pic>
              </a:graphicData>
            </a:graphic>
          </wp:inline>
        </w:drawing>
      </w:r>
    </w:p>
    <w:p w:rsidR="00095377" w:rsidRDefault="00095377" w:rsidP="00095377">
      <w:pPr>
        <w:spacing w:after="120"/>
        <w:jc w:val="both"/>
        <w:rPr>
          <w:lang w:val="hr-HR"/>
        </w:rPr>
      </w:pPr>
    </w:p>
    <w:p w:rsidR="00745C27" w:rsidRPr="00745C27" w:rsidRDefault="00745C27" w:rsidP="00745C27">
      <w:pPr>
        <w:spacing w:after="120"/>
        <w:jc w:val="both"/>
        <w:rPr>
          <w:lang w:val="hr-HR"/>
        </w:rPr>
      </w:pPr>
      <w:r w:rsidRPr="00745C27">
        <w:rPr>
          <w:lang w:val="hr-HR"/>
        </w:rPr>
        <w:t>Nadalje, ova skupina rashoda obuhvaća i sredstva potrebna za cjelogodišnju provedbu Zakona o izmjenama Zakona o rodiljnim i roditeljskim potporama kojim se od 1. travnja 2020. povećao maksimalni iznos naknade plaće zaposlenog i samozaposlenog roditelja za vrijeme korištenja roditeljskog dopusta na 170% proračunske osnovice mjesečno, odnosno na 5.654,20 kn mjesečno. Ova izdvajanja povećavaju se u 2021. godini odnosu na tekući plan 2020. godine za 140,4 milijuna kuna.</w:t>
      </w:r>
    </w:p>
    <w:p w:rsidR="00745C27" w:rsidRPr="00745C27" w:rsidRDefault="00745C27" w:rsidP="00745C27">
      <w:pPr>
        <w:spacing w:after="120"/>
        <w:jc w:val="both"/>
        <w:rPr>
          <w:lang w:val="hr-HR"/>
        </w:rPr>
      </w:pPr>
      <w:r w:rsidRPr="00745C27">
        <w:rPr>
          <w:lang w:val="hr-HR"/>
        </w:rPr>
        <w:t>U 2022. godini ovi rashodi projicirani su na razini od 54,3 milijarde kuna, dok se u 2023. očekuju na razini od 55,7 milijardi kuna.</w:t>
      </w:r>
    </w:p>
    <w:p w:rsidR="00745C27" w:rsidRPr="00745C27" w:rsidRDefault="00745C27" w:rsidP="00745C27">
      <w:pPr>
        <w:spacing w:after="120"/>
        <w:jc w:val="both"/>
        <w:rPr>
          <w:lang w:val="hr-HR"/>
        </w:rPr>
      </w:pPr>
    </w:p>
    <w:p w:rsidR="00745C27" w:rsidRPr="00745C27" w:rsidRDefault="00745C27" w:rsidP="00745C27">
      <w:pPr>
        <w:spacing w:after="120"/>
        <w:jc w:val="both"/>
        <w:rPr>
          <w:b/>
          <w:i/>
          <w:lang w:val="hr-HR"/>
        </w:rPr>
      </w:pPr>
      <w:r w:rsidRPr="00745C27">
        <w:rPr>
          <w:b/>
          <w:i/>
          <w:lang w:val="hr-HR"/>
        </w:rPr>
        <w:t xml:space="preserve">Ostali rashodi </w:t>
      </w:r>
    </w:p>
    <w:p w:rsidR="00745C27" w:rsidRPr="00745C27" w:rsidRDefault="00745C27" w:rsidP="00745C27">
      <w:pPr>
        <w:spacing w:after="120"/>
        <w:jc w:val="both"/>
        <w:rPr>
          <w:lang w:val="hr-HR"/>
        </w:rPr>
      </w:pPr>
      <w:r w:rsidRPr="00745C27">
        <w:rPr>
          <w:lang w:val="hr-HR"/>
        </w:rPr>
        <w:t>Ostali rashodi, koji uključuju tekuće i kapitalne donacije, kazne, penale i naknade šteta, izvanredne rashode i kapitalne pomoći, u 2021. godini projicirani su u iznosu od 6,9 milijardi kuna, odnosno 821,3 milijuna kuna više od tekućeg plana 2020. godine. Navedeni porast rezultat je povećanja ovih rashoda financiranih iz EU izvora za mjere ruralnog razvoja i provedbu projekata u okviru Operativnog programa konkurentnost i kohezija u nadležnosti Ministarstva gospodarstva i održivog razvoja. Također, na ovoj kategoriji rashoda planiraju se sredstva proračunske zalihe u iznosu od 100,0 milijuna kuna u 2021. godini.</w:t>
      </w:r>
    </w:p>
    <w:p w:rsidR="00745C27" w:rsidRPr="00745C27" w:rsidRDefault="00745C27" w:rsidP="00745C27">
      <w:pPr>
        <w:spacing w:after="120"/>
        <w:jc w:val="both"/>
        <w:rPr>
          <w:lang w:val="hr-HR"/>
        </w:rPr>
      </w:pPr>
      <w:r w:rsidRPr="00745C27">
        <w:rPr>
          <w:lang w:val="hr-HR"/>
        </w:rPr>
        <w:t>U 2022. i 2023. godini ovi rashodi projicirani su na razini od 8,6 odnosno 7,7 milijardi kuna.</w:t>
      </w:r>
    </w:p>
    <w:p w:rsidR="00745C27" w:rsidRPr="00745C27" w:rsidRDefault="00745C27" w:rsidP="00745C27">
      <w:pPr>
        <w:spacing w:after="120"/>
        <w:jc w:val="both"/>
        <w:rPr>
          <w:lang w:val="hr-HR"/>
        </w:rPr>
      </w:pPr>
    </w:p>
    <w:p w:rsidR="00745C27" w:rsidRPr="00745C27" w:rsidRDefault="00745C27" w:rsidP="00745C27">
      <w:pPr>
        <w:spacing w:after="120"/>
        <w:jc w:val="both"/>
        <w:rPr>
          <w:b/>
          <w:i/>
          <w:lang w:val="hr-HR"/>
        </w:rPr>
      </w:pPr>
      <w:r w:rsidRPr="00745C27">
        <w:rPr>
          <w:b/>
          <w:i/>
          <w:lang w:val="hr-HR"/>
        </w:rPr>
        <w:t>Rashodi za nabavu nefinancijske imovine</w:t>
      </w:r>
    </w:p>
    <w:p w:rsidR="00745C27" w:rsidRPr="00745C27" w:rsidRDefault="00745C27" w:rsidP="00745C27">
      <w:pPr>
        <w:spacing w:after="120"/>
        <w:jc w:val="both"/>
        <w:rPr>
          <w:lang w:val="hr-HR"/>
        </w:rPr>
      </w:pPr>
      <w:r w:rsidRPr="00745C27">
        <w:rPr>
          <w:lang w:val="hr-HR"/>
        </w:rPr>
        <w:t>Rashodi za nabavu nefinancijske imovine u 2021. godini planirani su u iznosu od 6,8 milijardi kuna. U okviru istih planirana su sredstva za kapitalne projekte i opremanje u: sustavu znanosti i obrazovanja u iznosu od 1,8 milijardi kuna, sustavu zdravstva u iznosu od 866,7 milijuna kuna, Ministarstvu unutarnjih poslova u iznosu od 693,2 milijuna kuna, lučkim upravama u iznosu od 653,4 milijuna kuna, u Ministarstvu obrane u iznosu od 516,5 milijuna kuna, nacionalnim parkovima i parkovima prirode u iznosu od 281,9 milijuna kuna, sustavu pravosuđa u iznosu od 237,5 milijuna kuna, u Ministarstvu hrvatskih branitelja u iznosu od 231,4 milijuna kuna i za kapitalne projekte korisnika u sustavu socijalne skrbi u iznosu od 147,9 milijuna kuna.</w:t>
      </w:r>
    </w:p>
    <w:p w:rsidR="00095377" w:rsidRDefault="00745C27" w:rsidP="00745C27">
      <w:pPr>
        <w:spacing w:after="120"/>
        <w:jc w:val="both"/>
        <w:rPr>
          <w:lang w:val="hr-HR"/>
        </w:rPr>
      </w:pPr>
      <w:r w:rsidRPr="00745C27">
        <w:rPr>
          <w:lang w:val="hr-HR"/>
        </w:rPr>
        <w:t>U 2022. i 2023. godini ovi rashodi predviđaju se u iznosu od 5,2 milijarde kuna, odnosno 4,1 milijardu kuna.</w:t>
      </w:r>
    </w:p>
    <w:p w:rsidR="00095377" w:rsidRPr="00095377" w:rsidRDefault="00095377" w:rsidP="00095377">
      <w:pPr>
        <w:spacing w:after="120"/>
        <w:jc w:val="both"/>
        <w:rPr>
          <w:lang w:val="hr-HR"/>
        </w:rPr>
      </w:pPr>
    </w:p>
    <w:p w:rsidR="00695821" w:rsidRPr="00F70B2A" w:rsidRDefault="00695821" w:rsidP="0029489C">
      <w:pPr>
        <w:pStyle w:val="Heading2"/>
        <w:numPr>
          <w:ilvl w:val="1"/>
          <w:numId w:val="16"/>
        </w:numPr>
        <w:ind w:left="993" w:hanging="567"/>
        <w:rPr>
          <w:lang w:val="hr-HR"/>
        </w:rPr>
      </w:pPr>
      <w:bookmarkStart w:id="28" w:name="_Toc54858239"/>
      <w:r w:rsidRPr="00F70B2A">
        <w:rPr>
          <w:lang w:val="hr-HR"/>
        </w:rPr>
        <w:t>Obrazloženje rashoda po funkcijskoj klasifikaciji</w:t>
      </w:r>
      <w:bookmarkEnd w:id="28"/>
    </w:p>
    <w:p w:rsidR="00033D9E" w:rsidRPr="00F70B2A" w:rsidRDefault="00033D9E" w:rsidP="00D668A6">
      <w:pPr>
        <w:pStyle w:val="Default"/>
        <w:spacing w:after="200" w:line="276" w:lineRule="auto"/>
        <w:jc w:val="both"/>
        <w:rPr>
          <w:rFonts w:asciiTheme="minorHAnsi" w:hAnsiTheme="minorHAnsi"/>
          <w:color w:val="auto"/>
          <w:sz w:val="22"/>
          <w:szCs w:val="22"/>
        </w:rPr>
      </w:pPr>
      <w:bookmarkStart w:id="29" w:name="_Toc445241796"/>
    </w:p>
    <w:bookmarkEnd w:id="29"/>
    <w:p w:rsidR="00C8194C" w:rsidRPr="00F70B2A" w:rsidRDefault="00C8194C" w:rsidP="00D668A6">
      <w:pPr>
        <w:pStyle w:val="Default"/>
        <w:spacing w:after="200" w:line="276" w:lineRule="auto"/>
        <w:jc w:val="both"/>
        <w:rPr>
          <w:rFonts w:asciiTheme="minorHAnsi" w:hAnsiTheme="minorHAnsi"/>
          <w:color w:val="auto"/>
          <w:sz w:val="22"/>
          <w:szCs w:val="22"/>
        </w:rPr>
      </w:pPr>
      <w:r w:rsidRPr="00F70B2A">
        <w:rPr>
          <w:rFonts w:asciiTheme="minorHAnsi" w:hAnsiTheme="minorHAnsi"/>
          <w:color w:val="auto"/>
          <w:sz w:val="22"/>
          <w:szCs w:val="22"/>
        </w:rPr>
        <w:t xml:space="preserve">S ciljem daljnjeg povećanja transparentnosti korištenja proračunskih sredstava u nastavku se u okviru obrazloženja rashoda državnog proračuna, daje i prikaz rashoda po funkcijskoj klasifikaciji. </w:t>
      </w:r>
    </w:p>
    <w:p w:rsidR="00D668A6" w:rsidRDefault="00BC27DE" w:rsidP="00BE094B">
      <w:pPr>
        <w:spacing w:before="240" w:after="0" w:line="240" w:lineRule="auto"/>
        <w:jc w:val="both"/>
        <w:rPr>
          <w:i/>
          <w:lang w:val="hr-HR"/>
        </w:rPr>
      </w:pPr>
      <w:r w:rsidRPr="00F70B2A">
        <w:rPr>
          <w:i/>
          <w:lang w:val="hr-HR"/>
        </w:rPr>
        <w:t xml:space="preserve">Tablica </w:t>
      </w:r>
      <w:r w:rsidRPr="00F70B2A">
        <w:rPr>
          <w:i/>
          <w:lang w:val="hr-HR"/>
        </w:rPr>
        <w:fldChar w:fldCharType="begin"/>
      </w:r>
      <w:r w:rsidRPr="00F70B2A">
        <w:rPr>
          <w:i/>
          <w:lang w:val="hr-HR"/>
        </w:rPr>
        <w:instrText xml:space="preserve"> SEQ Tablica \* ARABIC </w:instrText>
      </w:r>
      <w:r w:rsidRPr="00F70B2A">
        <w:rPr>
          <w:i/>
          <w:lang w:val="hr-HR"/>
        </w:rPr>
        <w:fldChar w:fldCharType="separate"/>
      </w:r>
      <w:r w:rsidR="00B5313A">
        <w:rPr>
          <w:i/>
          <w:noProof/>
          <w:lang w:val="hr-HR"/>
        </w:rPr>
        <w:t>10</w:t>
      </w:r>
      <w:r w:rsidRPr="00F70B2A">
        <w:rPr>
          <w:i/>
          <w:lang w:val="hr-HR"/>
        </w:rPr>
        <w:fldChar w:fldCharType="end"/>
      </w:r>
      <w:r w:rsidRPr="00F70B2A">
        <w:rPr>
          <w:i/>
          <w:lang w:val="hr-HR"/>
        </w:rPr>
        <w:t xml:space="preserve">: </w:t>
      </w:r>
      <w:r w:rsidR="00C8194C" w:rsidRPr="00F70B2A">
        <w:rPr>
          <w:i/>
          <w:lang w:val="hr-HR"/>
        </w:rPr>
        <w:t>Kretanje rashoda državnog proračuna u razdoblju 2018. - 2022. po funkcijskoj klasifikaciji</w:t>
      </w:r>
    </w:p>
    <w:p w:rsidR="00153C78" w:rsidRPr="00F70B2A" w:rsidRDefault="00670082" w:rsidP="00BE094B">
      <w:pPr>
        <w:spacing w:before="240" w:after="0" w:line="240" w:lineRule="auto"/>
        <w:jc w:val="both"/>
        <w:rPr>
          <w:i/>
          <w:lang w:val="hr-HR"/>
        </w:rPr>
      </w:pPr>
      <w:r w:rsidRPr="00670082">
        <w:rPr>
          <w:noProof/>
          <w:lang w:val="hr-HR" w:eastAsia="hr-HR"/>
        </w:rPr>
        <w:drawing>
          <wp:inline distT="0" distB="0" distL="0" distR="0">
            <wp:extent cx="5760720" cy="1373144"/>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373144"/>
                    </a:xfrm>
                    <a:prstGeom prst="rect">
                      <a:avLst/>
                    </a:prstGeom>
                    <a:noFill/>
                    <a:ln>
                      <a:noFill/>
                    </a:ln>
                  </pic:spPr>
                </pic:pic>
              </a:graphicData>
            </a:graphic>
          </wp:inline>
        </w:drawing>
      </w:r>
    </w:p>
    <w:p w:rsidR="00BE094B" w:rsidRDefault="00BC27DE" w:rsidP="00BC27DE">
      <w:pPr>
        <w:rPr>
          <w:i/>
          <w:sz w:val="20"/>
          <w:lang w:val="hr-HR"/>
        </w:rPr>
      </w:pPr>
      <w:r w:rsidRPr="00F70B2A">
        <w:rPr>
          <w:i/>
          <w:sz w:val="20"/>
          <w:lang w:val="hr-HR"/>
        </w:rPr>
        <w:t>Izvor: Ministarstvo financija</w:t>
      </w:r>
    </w:p>
    <w:p w:rsidR="00670082" w:rsidRDefault="00670082" w:rsidP="00BC27DE">
      <w:pPr>
        <w:rPr>
          <w:lang w:val="hr-HR"/>
        </w:rPr>
      </w:pPr>
    </w:p>
    <w:p w:rsidR="00670082" w:rsidRDefault="00670082" w:rsidP="00BC27DE">
      <w:pPr>
        <w:rPr>
          <w:lang w:val="hr-HR"/>
        </w:rPr>
      </w:pPr>
    </w:p>
    <w:p w:rsidR="0037667D" w:rsidRPr="00F70B2A" w:rsidRDefault="00BC27DE" w:rsidP="00BC27DE">
      <w:pPr>
        <w:rPr>
          <w:lang w:val="hr-HR"/>
        </w:rPr>
      </w:pPr>
      <w:r w:rsidRPr="00F70B2A">
        <w:rPr>
          <w:lang w:val="hr-HR"/>
        </w:rPr>
        <w:t xml:space="preserve"> </w:t>
      </w:r>
      <w:r w:rsidR="0037667D" w:rsidRPr="00F70B2A">
        <w:rPr>
          <w:lang w:val="hr-HR"/>
        </w:rPr>
        <w:br w:type="page"/>
      </w:r>
    </w:p>
    <w:p w:rsidR="00695821" w:rsidRPr="00F70B2A" w:rsidRDefault="00695821" w:rsidP="0029489C">
      <w:pPr>
        <w:pStyle w:val="Heading1"/>
        <w:numPr>
          <w:ilvl w:val="0"/>
          <w:numId w:val="17"/>
        </w:numPr>
        <w:rPr>
          <w:lang w:val="hr-HR"/>
        </w:rPr>
      </w:pPr>
      <w:bookmarkStart w:id="30" w:name="_Toc54858240"/>
      <w:r w:rsidRPr="00F70B2A">
        <w:rPr>
          <w:lang w:val="hr-HR"/>
        </w:rPr>
        <w:t>UKUPNI MANJAK</w:t>
      </w:r>
      <w:r w:rsidR="00BC27DE" w:rsidRPr="00F70B2A">
        <w:rPr>
          <w:lang w:val="hr-HR"/>
        </w:rPr>
        <w:t>/VIŠAK</w:t>
      </w:r>
      <w:r w:rsidRPr="00F70B2A">
        <w:rPr>
          <w:lang w:val="hr-HR"/>
        </w:rPr>
        <w:t xml:space="preserve"> DRŽAVNOG PRORAČUNA</w:t>
      </w:r>
      <w:bookmarkEnd w:id="30"/>
      <w:r w:rsidRPr="00F70B2A">
        <w:rPr>
          <w:lang w:val="hr-HR"/>
        </w:rPr>
        <w:t xml:space="preserve"> </w:t>
      </w:r>
    </w:p>
    <w:p w:rsidR="00695821" w:rsidRPr="00F70B2A" w:rsidRDefault="00695821" w:rsidP="00695821">
      <w:pPr>
        <w:rPr>
          <w:lang w:val="hr-HR"/>
        </w:rPr>
      </w:pPr>
    </w:p>
    <w:p w:rsidR="00695821" w:rsidRPr="00A831A9" w:rsidRDefault="00695821" w:rsidP="002A12E4">
      <w:pPr>
        <w:jc w:val="both"/>
        <w:rPr>
          <w:lang w:val="hr-HR"/>
        </w:rPr>
      </w:pPr>
      <w:r w:rsidRPr="00A831A9">
        <w:rPr>
          <w:lang w:val="hr-HR"/>
        </w:rPr>
        <w:t xml:space="preserve">Slijedom ukupno planiranih prihoda u iznosu od </w:t>
      </w:r>
      <w:r w:rsidR="00A831A9" w:rsidRPr="00A831A9">
        <w:rPr>
          <w:lang w:val="hr-HR"/>
        </w:rPr>
        <w:t xml:space="preserve">147,3 </w:t>
      </w:r>
      <w:r w:rsidR="008E0275" w:rsidRPr="00A831A9">
        <w:rPr>
          <w:lang w:val="hr-HR"/>
        </w:rPr>
        <w:t>milijard</w:t>
      </w:r>
      <w:r w:rsidR="00A831A9" w:rsidRPr="00A831A9">
        <w:rPr>
          <w:lang w:val="hr-HR"/>
        </w:rPr>
        <w:t>i</w:t>
      </w:r>
      <w:r w:rsidRPr="00A831A9">
        <w:rPr>
          <w:lang w:val="hr-HR"/>
        </w:rPr>
        <w:t xml:space="preserve"> kuna te ukupno planiranih rashoda u iznosu od </w:t>
      </w:r>
      <w:r w:rsidR="00A831A9" w:rsidRPr="00A831A9">
        <w:rPr>
          <w:lang w:val="hr-HR"/>
        </w:rPr>
        <w:t>157,9</w:t>
      </w:r>
      <w:r w:rsidRPr="00A831A9">
        <w:rPr>
          <w:lang w:val="hr-HR"/>
        </w:rPr>
        <w:t xml:space="preserve"> mi</w:t>
      </w:r>
      <w:r w:rsidR="00A831A9" w:rsidRPr="00A831A9">
        <w:rPr>
          <w:lang w:val="hr-HR"/>
        </w:rPr>
        <w:t>lijardi</w:t>
      </w:r>
      <w:r w:rsidRPr="00A831A9">
        <w:rPr>
          <w:lang w:val="hr-HR"/>
        </w:rPr>
        <w:t xml:space="preserve"> kuna, planirani manjak državnog proračuna za 20</w:t>
      </w:r>
      <w:r w:rsidR="00155FA2" w:rsidRPr="00A831A9">
        <w:rPr>
          <w:lang w:val="hr-HR"/>
        </w:rPr>
        <w:t>2</w:t>
      </w:r>
      <w:r w:rsidR="00A831A9" w:rsidRPr="00A831A9">
        <w:rPr>
          <w:lang w:val="hr-HR"/>
        </w:rPr>
        <w:t>1</w:t>
      </w:r>
      <w:r w:rsidRPr="00A831A9">
        <w:rPr>
          <w:lang w:val="hr-HR"/>
        </w:rPr>
        <w:t xml:space="preserve">. godinu iznosi </w:t>
      </w:r>
      <w:r w:rsidR="00A831A9" w:rsidRPr="00A831A9">
        <w:rPr>
          <w:lang w:val="hr-HR"/>
        </w:rPr>
        <w:t>10,7</w:t>
      </w:r>
      <w:r w:rsidRPr="00A831A9">
        <w:rPr>
          <w:lang w:val="hr-HR"/>
        </w:rPr>
        <w:t xml:space="preserve"> milijard</w:t>
      </w:r>
      <w:r w:rsidR="00A831A9" w:rsidRPr="00A831A9">
        <w:rPr>
          <w:lang w:val="hr-HR"/>
        </w:rPr>
        <w:t>i</w:t>
      </w:r>
      <w:r w:rsidRPr="00A831A9">
        <w:rPr>
          <w:lang w:val="hr-HR"/>
        </w:rPr>
        <w:t xml:space="preserve"> kuna ili </w:t>
      </w:r>
      <w:r w:rsidR="00A831A9" w:rsidRPr="00A831A9">
        <w:rPr>
          <w:lang w:val="hr-HR"/>
        </w:rPr>
        <w:t>2,7</w:t>
      </w:r>
      <w:r w:rsidRPr="00A831A9">
        <w:rPr>
          <w:lang w:val="hr-HR"/>
        </w:rPr>
        <w:t xml:space="preserve">% bruto domaćeg proizvoda. </w:t>
      </w:r>
    </w:p>
    <w:p w:rsidR="00695821" w:rsidRPr="00F70B2A" w:rsidRDefault="00BE094B" w:rsidP="002A12E4">
      <w:pPr>
        <w:jc w:val="both"/>
        <w:rPr>
          <w:lang w:val="hr-HR"/>
        </w:rPr>
      </w:pPr>
      <w:r w:rsidRPr="00A831A9">
        <w:rPr>
          <w:lang w:val="hr-HR"/>
        </w:rPr>
        <w:t>U 202</w:t>
      </w:r>
      <w:r w:rsidR="00A831A9" w:rsidRPr="00A831A9">
        <w:rPr>
          <w:lang w:val="hr-HR"/>
        </w:rPr>
        <w:t>2</w:t>
      </w:r>
      <w:r w:rsidR="00695821" w:rsidRPr="00A831A9">
        <w:rPr>
          <w:lang w:val="hr-HR"/>
        </w:rPr>
        <w:t xml:space="preserve">. godini manjak državnog proračuna projiciran je </w:t>
      </w:r>
      <w:r w:rsidR="00A831A9" w:rsidRPr="00A831A9">
        <w:rPr>
          <w:lang w:val="hr-HR"/>
        </w:rPr>
        <w:t>u iznosu od 7,3 milijarde kuna ili 1,8% BDP-a dok se u 2023.</w:t>
      </w:r>
      <w:r w:rsidR="00D72B0A" w:rsidRPr="00A831A9">
        <w:rPr>
          <w:lang w:val="hr-HR"/>
        </w:rPr>
        <w:t xml:space="preserve"> </w:t>
      </w:r>
      <w:r w:rsidR="00A831A9" w:rsidRPr="00A831A9">
        <w:rPr>
          <w:lang w:val="hr-HR"/>
        </w:rPr>
        <w:t xml:space="preserve">očekuje manjak od 4,2 milijarde kuna ili 1% BDP-a. </w:t>
      </w:r>
    </w:p>
    <w:p w:rsidR="00695821" w:rsidRPr="00F70B2A" w:rsidRDefault="00DB0827" w:rsidP="00533F79">
      <w:pPr>
        <w:spacing w:before="240" w:after="0" w:line="240" w:lineRule="auto"/>
        <w:rPr>
          <w:i/>
          <w:lang w:val="hr-HR"/>
        </w:rPr>
      </w:pPr>
      <w:bookmarkStart w:id="31" w:name="_Toc445241797"/>
      <w:r w:rsidRPr="00F70B2A">
        <w:rPr>
          <w:i/>
          <w:lang w:val="hr-HR"/>
        </w:rPr>
        <w:t xml:space="preserve">Tablica </w:t>
      </w:r>
      <w:r w:rsidR="00533F79" w:rsidRPr="00F70B2A">
        <w:rPr>
          <w:i/>
          <w:lang w:val="hr-HR"/>
        </w:rPr>
        <w:fldChar w:fldCharType="begin"/>
      </w:r>
      <w:r w:rsidR="00533F79" w:rsidRPr="00F70B2A">
        <w:rPr>
          <w:i/>
          <w:lang w:val="hr-HR"/>
        </w:rPr>
        <w:instrText xml:space="preserve"> SEQ Tablica \* ARABIC </w:instrText>
      </w:r>
      <w:r w:rsidR="00533F79" w:rsidRPr="00F70B2A">
        <w:rPr>
          <w:i/>
          <w:lang w:val="hr-HR"/>
        </w:rPr>
        <w:fldChar w:fldCharType="separate"/>
      </w:r>
      <w:r w:rsidR="00B5313A">
        <w:rPr>
          <w:i/>
          <w:noProof/>
          <w:lang w:val="hr-HR"/>
        </w:rPr>
        <w:t>11</w:t>
      </w:r>
      <w:r w:rsidR="00533F79" w:rsidRPr="00F70B2A">
        <w:rPr>
          <w:i/>
          <w:lang w:val="hr-HR"/>
        </w:rPr>
        <w:fldChar w:fldCharType="end"/>
      </w:r>
      <w:r w:rsidR="00695821" w:rsidRPr="00F70B2A">
        <w:rPr>
          <w:i/>
          <w:lang w:val="hr-HR"/>
        </w:rPr>
        <w:t>: Ukupni manjak</w:t>
      </w:r>
      <w:r w:rsidR="00BC27DE" w:rsidRPr="00F70B2A">
        <w:rPr>
          <w:i/>
          <w:lang w:val="hr-HR"/>
        </w:rPr>
        <w:t>/višak</w:t>
      </w:r>
      <w:r w:rsidR="00695821" w:rsidRPr="00F70B2A">
        <w:rPr>
          <w:i/>
          <w:lang w:val="hr-HR"/>
        </w:rPr>
        <w:t xml:space="preserve"> državnog proračuna</w:t>
      </w:r>
      <w:bookmarkEnd w:id="31"/>
    </w:p>
    <w:p w:rsidR="008E0275" w:rsidRPr="00F70B2A" w:rsidRDefault="00A831A9" w:rsidP="008E0275">
      <w:pPr>
        <w:spacing w:before="240" w:after="0"/>
        <w:rPr>
          <w:lang w:val="hr-HR"/>
        </w:rPr>
      </w:pPr>
      <w:r w:rsidRPr="00A831A9">
        <w:rPr>
          <w:noProof/>
          <w:lang w:val="hr-HR" w:eastAsia="hr-HR"/>
        </w:rPr>
        <w:drawing>
          <wp:inline distT="0" distB="0" distL="0" distR="0">
            <wp:extent cx="5760720" cy="1463770"/>
            <wp:effectExtent l="0" t="0" r="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463770"/>
                    </a:xfrm>
                    <a:prstGeom prst="rect">
                      <a:avLst/>
                    </a:prstGeom>
                    <a:noFill/>
                    <a:ln>
                      <a:noFill/>
                    </a:ln>
                  </pic:spPr>
                </pic:pic>
              </a:graphicData>
            </a:graphic>
          </wp:inline>
        </w:drawing>
      </w:r>
    </w:p>
    <w:p w:rsidR="00695821" w:rsidRPr="00F70B2A" w:rsidRDefault="00695821" w:rsidP="00205AC5">
      <w:pPr>
        <w:spacing w:after="0"/>
        <w:rPr>
          <w:i/>
          <w:sz w:val="20"/>
          <w:lang w:val="hr-HR"/>
        </w:rPr>
      </w:pPr>
      <w:r w:rsidRPr="00F70B2A">
        <w:rPr>
          <w:i/>
          <w:sz w:val="20"/>
          <w:lang w:val="hr-HR"/>
        </w:rPr>
        <w:t>Izvor: Ministarstvo financija</w:t>
      </w:r>
    </w:p>
    <w:p w:rsidR="001314C4" w:rsidRPr="00F70B2A" w:rsidRDefault="00695821" w:rsidP="00695821">
      <w:pPr>
        <w:rPr>
          <w:lang w:val="hr-HR"/>
        </w:rPr>
      </w:pPr>
      <w:r w:rsidRPr="00F70B2A">
        <w:rPr>
          <w:lang w:val="hr-HR"/>
        </w:rPr>
        <w:t xml:space="preserve"> </w:t>
      </w:r>
      <w:r w:rsidR="001314C4" w:rsidRPr="00F70B2A">
        <w:rPr>
          <w:lang w:val="hr-HR"/>
        </w:rPr>
        <w:br w:type="page"/>
      </w:r>
    </w:p>
    <w:p w:rsidR="00695821" w:rsidRPr="00F70B2A" w:rsidRDefault="00695821" w:rsidP="0029489C">
      <w:pPr>
        <w:pStyle w:val="Heading1"/>
        <w:numPr>
          <w:ilvl w:val="0"/>
          <w:numId w:val="17"/>
        </w:numPr>
        <w:rPr>
          <w:lang w:val="hr-HR"/>
        </w:rPr>
      </w:pPr>
      <w:bookmarkStart w:id="32" w:name="_Toc54858241"/>
      <w:r w:rsidRPr="00F70B2A">
        <w:rPr>
          <w:lang w:val="hr-HR"/>
        </w:rPr>
        <w:t>RAČUN FINANCIRANJA DRŽAVNOG PRORAČUNA</w:t>
      </w:r>
      <w:bookmarkEnd w:id="32"/>
      <w:r w:rsidRPr="00F70B2A">
        <w:rPr>
          <w:lang w:val="hr-HR"/>
        </w:rPr>
        <w:t xml:space="preserve"> </w:t>
      </w:r>
    </w:p>
    <w:p w:rsidR="00695821" w:rsidRPr="00F70B2A" w:rsidRDefault="00695821" w:rsidP="00695821">
      <w:pPr>
        <w:rPr>
          <w:lang w:val="hr-HR"/>
        </w:rPr>
      </w:pPr>
    </w:p>
    <w:p w:rsidR="001F4192" w:rsidRPr="004650F9" w:rsidRDefault="001F4192" w:rsidP="001F4192">
      <w:pPr>
        <w:jc w:val="both"/>
        <w:rPr>
          <w:lang w:val="hr-HR"/>
        </w:rPr>
      </w:pPr>
      <w:bookmarkStart w:id="33" w:name="_Toc445241798"/>
      <w:r w:rsidRPr="004650F9">
        <w:rPr>
          <w:lang w:val="hr-HR"/>
        </w:rPr>
        <w:t xml:space="preserve">Manjak državnog proračuna za 2021. godinu u iznosu </w:t>
      </w:r>
      <w:r w:rsidRPr="000B6DCD">
        <w:rPr>
          <w:lang w:val="hr-HR"/>
        </w:rPr>
        <w:t>od 10,7</w:t>
      </w:r>
      <w:r w:rsidRPr="004650F9">
        <w:rPr>
          <w:lang w:val="hr-HR"/>
        </w:rPr>
        <w:t xml:space="preserve"> milijard</w:t>
      </w:r>
      <w:r>
        <w:rPr>
          <w:lang w:val="hr-HR"/>
        </w:rPr>
        <w:t>i</w:t>
      </w:r>
      <w:r w:rsidRPr="004650F9">
        <w:rPr>
          <w:lang w:val="hr-HR"/>
        </w:rPr>
        <w:t xml:space="preserve"> kuna financirat će se razlikom ukupnih primitaka od financijske imovine i zaduživanja te ukupnih izdataka za financijsku imovinu i otplate zajmova. Pritom su ukupni primici od financijske imovine i zaduživanja planirani u iznosu od </w:t>
      </w:r>
      <w:r w:rsidRPr="000B6DCD">
        <w:rPr>
          <w:lang w:val="hr-HR"/>
        </w:rPr>
        <w:t>36,2</w:t>
      </w:r>
      <w:r w:rsidRPr="004650F9">
        <w:rPr>
          <w:lang w:val="hr-HR"/>
        </w:rPr>
        <w:t xml:space="preserve"> milijard</w:t>
      </w:r>
      <w:r>
        <w:rPr>
          <w:lang w:val="hr-HR"/>
        </w:rPr>
        <w:t>e</w:t>
      </w:r>
      <w:r w:rsidRPr="004650F9">
        <w:rPr>
          <w:lang w:val="hr-HR"/>
        </w:rPr>
        <w:t xml:space="preserve"> kuna, a ukupni izdaci za financijsku imovinu i otplate zajmova u iznosu od </w:t>
      </w:r>
      <w:r w:rsidRPr="000B6DCD">
        <w:rPr>
          <w:lang w:val="hr-HR"/>
        </w:rPr>
        <w:t>24,9</w:t>
      </w:r>
      <w:r w:rsidRPr="004650F9">
        <w:rPr>
          <w:lang w:val="hr-HR"/>
        </w:rPr>
        <w:t xml:space="preserve"> milijard</w:t>
      </w:r>
      <w:r>
        <w:rPr>
          <w:lang w:val="hr-HR"/>
        </w:rPr>
        <w:t>i</w:t>
      </w:r>
      <w:r w:rsidRPr="004650F9">
        <w:rPr>
          <w:lang w:val="hr-HR"/>
        </w:rPr>
        <w:t xml:space="preserve"> kuna. Zatvarajuća stavka između ukupnih primitaka od financijske imovine i zaduživanja, ukupnih izdataka za financijsku imovinu i otplate zajmova te ukupnog manjka državnog proračuna u 202</w:t>
      </w:r>
      <w:r>
        <w:rPr>
          <w:lang w:val="hr-HR"/>
        </w:rPr>
        <w:t>1</w:t>
      </w:r>
      <w:r w:rsidRPr="004650F9">
        <w:rPr>
          <w:lang w:val="hr-HR"/>
        </w:rPr>
        <w:t>. godin</w:t>
      </w:r>
      <w:r>
        <w:rPr>
          <w:lang w:val="hr-HR"/>
        </w:rPr>
        <w:t>i</w:t>
      </w:r>
      <w:r w:rsidRPr="004650F9">
        <w:rPr>
          <w:lang w:val="hr-HR"/>
        </w:rPr>
        <w:t xml:space="preserve"> jesu prijenos depozita iz prethodne godine u iznosu </w:t>
      </w:r>
      <w:r w:rsidRPr="000B6DCD">
        <w:rPr>
          <w:lang w:val="hr-HR"/>
        </w:rPr>
        <w:t>od 7,1</w:t>
      </w:r>
      <w:r w:rsidRPr="004650F9">
        <w:rPr>
          <w:lang w:val="hr-HR"/>
        </w:rPr>
        <w:t xml:space="preserve"> milijard</w:t>
      </w:r>
      <w:r>
        <w:rPr>
          <w:lang w:val="hr-HR"/>
        </w:rPr>
        <w:t xml:space="preserve">u </w:t>
      </w:r>
      <w:r w:rsidRPr="004650F9">
        <w:rPr>
          <w:lang w:val="hr-HR"/>
        </w:rPr>
        <w:t xml:space="preserve">kuna te planirani prijenos depozita u narednu godinu u iznosu </w:t>
      </w:r>
      <w:r w:rsidRPr="000B6DCD">
        <w:rPr>
          <w:lang w:val="hr-HR"/>
        </w:rPr>
        <w:t>od 7,7</w:t>
      </w:r>
      <w:r>
        <w:rPr>
          <w:lang w:val="hr-HR"/>
        </w:rPr>
        <w:t xml:space="preserve"> </w:t>
      </w:r>
      <w:r w:rsidRPr="004650F9">
        <w:rPr>
          <w:lang w:val="hr-HR"/>
        </w:rPr>
        <w:t>milijard</w:t>
      </w:r>
      <w:r>
        <w:rPr>
          <w:lang w:val="hr-HR"/>
        </w:rPr>
        <w:t>i</w:t>
      </w:r>
      <w:r w:rsidRPr="004650F9">
        <w:rPr>
          <w:lang w:val="hr-HR"/>
        </w:rPr>
        <w:t xml:space="preserve"> kuna.</w:t>
      </w:r>
    </w:p>
    <w:p w:rsidR="001F4192" w:rsidRPr="004650F9" w:rsidRDefault="001F4192" w:rsidP="001F4192">
      <w:pPr>
        <w:jc w:val="both"/>
        <w:rPr>
          <w:lang w:val="hr-HR"/>
        </w:rPr>
      </w:pPr>
      <w:r w:rsidRPr="004650F9">
        <w:rPr>
          <w:lang w:val="hr-HR"/>
        </w:rPr>
        <w:t xml:space="preserve">U strukturi ukupnih primitaka od financijske imovine i zaduživanja u 2021. godini najznačajniji dio zauzimaju primici od izdanih vrijednosnih papira i to s iznosom od </w:t>
      </w:r>
      <w:r w:rsidRPr="000B6DCD">
        <w:rPr>
          <w:lang w:val="hr-HR"/>
        </w:rPr>
        <w:t>19,6</w:t>
      </w:r>
      <w:r w:rsidRPr="004650F9">
        <w:rPr>
          <w:lang w:val="hr-HR"/>
        </w:rPr>
        <w:t xml:space="preserve"> milijardi kuna koji se u cijelosti odnose </w:t>
      </w:r>
      <w:r>
        <w:rPr>
          <w:lang w:val="hr-HR"/>
        </w:rPr>
        <w:t xml:space="preserve">na zaduživanje putem obveznica te primici od </w:t>
      </w:r>
      <w:r w:rsidRPr="004650F9">
        <w:rPr>
          <w:lang w:val="hr-HR"/>
        </w:rPr>
        <w:t>zaduživanj</w:t>
      </w:r>
      <w:r>
        <w:rPr>
          <w:lang w:val="hr-HR"/>
        </w:rPr>
        <w:t>a</w:t>
      </w:r>
      <w:r w:rsidRPr="004650F9">
        <w:rPr>
          <w:lang w:val="hr-HR"/>
        </w:rPr>
        <w:t xml:space="preserve"> inozemnim i domaćim kreditima i zajmovima </w:t>
      </w:r>
      <w:r>
        <w:rPr>
          <w:lang w:val="hr-HR"/>
        </w:rPr>
        <w:t>u iznosu od</w:t>
      </w:r>
      <w:r w:rsidRPr="004650F9">
        <w:rPr>
          <w:lang w:val="hr-HR"/>
        </w:rPr>
        <w:t xml:space="preserve"> </w:t>
      </w:r>
      <w:r w:rsidRPr="000B6DCD">
        <w:rPr>
          <w:lang w:val="hr-HR"/>
        </w:rPr>
        <w:t>14,5</w:t>
      </w:r>
      <w:r>
        <w:rPr>
          <w:lang w:val="hr-HR"/>
        </w:rPr>
        <w:t xml:space="preserve"> </w:t>
      </w:r>
      <w:r w:rsidRPr="004650F9">
        <w:rPr>
          <w:lang w:val="hr-HR"/>
        </w:rPr>
        <w:t>milijardi kuna</w:t>
      </w:r>
      <w:r>
        <w:rPr>
          <w:lang w:val="hr-HR"/>
        </w:rPr>
        <w:t>.</w:t>
      </w:r>
      <w:r w:rsidRPr="004650F9">
        <w:rPr>
          <w:lang w:val="hr-HR"/>
        </w:rPr>
        <w:t xml:space="preserve"> </w:t>
      </w:r>
      <w:r>
        <w:rPr>
          <w:lang w:val="hr-HR"/>
        </w:rPr>
        <w:t>O</w:t>
      </w:r>
      <w:r w:rsidRPr="004650F9">
        <w:rPr>
          <w:lang w:val="hr-HR"/>
        </w:rPr>
        <w:t xml:space="preserve">čekivani primitak od privatizacije iznosi </w:t>
      </w:r>
      <w:r w:rsidRPr="000B6DCD">
        <w:rPr>
          <w:lang w:val="hr-HR"/>
        </w:rPr>
        <w:t>550,2</w:t>
      </w:r>
      <w:r w:rsidRPr="004650F9">
        <w:rPr>
          <w:lang w:val="hr-HR"/>
        </w:rPr>
        <w:t xml:space="preserve"> </w:t>
      </w:r>
      <w:r>
        <w:rPr>
          <w:lang w:val="hr-HR"/>
        </w:rPr>
        <w:t>milijuna</w:t>
      </w:r>
      <w:r w:rsidRPr="004650F9">
        <w:rPr>
          <w:lang w:val="hr-HR"/>
        </w:rPr>
        <w:t xml:space="preserve"> kuna. Ostatak ukupno planiranih primitaka odnosi se na primitke ostvarene od povrata glavnica danih zajmova i depozita u iznosu od </w:t>
      </w:r>
      <w:r w:rsidRPr="000B6DCD">
        <w:rPr>
          <w:lang w:val="hr-HR"/>
        </w:rPr>
        <w:t>1,5 milijardi kuna,</w:t>
      </w:r>
      <w:r w:rsidRPr="004650F9">
        <w:rPr>
          <w:lang w:val="hr-HR"/>
        </w:rPr>
        <w:t xml:space="preserve"> od čega se najznačajniji iznos </w:t>
      </w:r>
      <w:r w:rsidRPr="000B6DCD">
        <w:rPr>
          <w:lang w:val="hr-HR"/>
        </w:rPr>
        <w:t>od 1,3</w:t>
      </w:r>
      <w:r>
        <w:rPr>
          <w:lang w:val="hr-HR"/>
        </w:rPr>
        <w:t xml:space="preserve"> milijarde</w:t>
      </w:r>
      <w:r w:rsidRPr="004650F9">
        <w:rPr>
          <w:lang w:val="hr-HR"/>
        </w:rPr>
        <w:t xml:space="preserve"> kuna odnosi na povrat </w:t>
      </w:r>
      <w:r>
        <w:rPr>
          <w:lang w:val="hr-HR"/>
        </w:rPr>
        <w:t>zajmova danih drugim razinama vlasti</w:t>
      </w:r>
      <w:r w:rsidRPr="004650F9">
        <w:rPr>
          <w:lang w:val="hr-HR"/>
        </w:rPr>
        <w:t>.</w:t>
      </w:r>
    </w:p>
    <w:p w:rsidR="001F4192" w:rsidRPr="004650F9" w:rsidRDefault="001F4192" w:rsidP="001F4192">
      <w:pPr>
        <w:jc w:val="both"/>
        <w:rPr>
          <w:lang w:val="hr-HR"/>
        </w:rPr>
      </w:pPr>
      <w:r w:rsidRPr="004650F9">
        <w:rPr>
          <w:lang w:val="hr-HR"/>
        </w:rPr>
        <w:t xml:space="preserve">U strukturi ukupnih izdataka za financijsku imovinu i otplate zajmova najveći iznos od </w:t>
      </w:r>
      <w:r w:rsidRPr="000B6DCD">
        <w:rPr>
          <w:lang w:val="hr-HR"/>
        </w:rPr>
        <w:t>14,4</w:t>
      </w:r>
      <w:r w:rsidRPr="004650F9">
        <w:rPr>
          <w:lang w:val="hr-HR"/>
        </w:rPr>
        <w:t xml:space="preserve"> milijarde kuna čine izdaci za otplatu glavnice za izdane vrijednosne papire </w:t>
      </w:r>
      <w:r>
        <w:rPr>
          <w:lang w:val="hr-HR"/>
        </w:rPr>
        <w:t>koji se u cijelosti</w:t>
      </w:r>
      <w:r w:rsidRPr="004650F9">
        <w:rPr>
          <w:lang w:val="hr-HR"/>
        </w:rPr>
        <w:t xml:space="preserve"> odnosi na izdatke za otplatu glavnice za izdane obveznice. Izdaci za otplatu glavnice primljenih kredita i zajmova iznose </w:t>
      </w:r>
      <w:r w:rsidRPr="000B6DCD">
        <w:rPr>
          <w:lang w:val="hr-HR"/>
        </w:rPr>
        <w:t>8,1 milijardu kuna, od čega se 6,5</w:t>
      </w:r>
      <w:r w:rsidRPr="004650F9">
        <w:rPr>
          <w:lang w:val="hr-HR"/>
        </w:rPr>
        <w:t xml:space="preserve"> milijardi kuna odnosi na otplatu glavnice primljenih kredita i zajmova od kreditnih i ostalih financijskih institucija izvan javnog sektora</w:t>
      </w:r>
      <w:r w:rsidRPr="000B6DCD">
        <w:rPr>
          <w:lang w:val="hr-HR"/>
        </w:rPr>
        <w:t>, 685,9 milijuna kuna na izdatke za otplatu glavnice primljenih kredita i zajmova od kreditnih i ostalih financijskih institucija u javnom sektoru, a 899,2 milijuna kuna na otplatu glavnice primljenih</w:t>
      </w:r>
      <w:r w:rsidRPr="004650F9">
        <w:rPr>
          <w:lang w:val="hr-HR"/>
        </w:rPr>
        <w:t xml:space="preserve"> kredita i zajmova od međunarodnih organizacija, institucija i tijela EU te inozemnih vlada. Planirana sredstva za izdatke za dane zajmove i depozite </w:t>
      </w:r>
      <w:r w:rsidRPr="000B6DCD">
        <w:rPr>
          <w:lang w:val="hr-HR"/>
        </w:rPr>
        <w:t>iznose 2,2</w:t>
      </w:r>
      <w:r w:rsidRPr="004650F9">
        <w:rPr>
          <w:lang w:val="hr-HR"/>
        </w:rPr>
        <w:t xml:space="preserve"> milijard</w:t>
      </w:r>
      <w:r>
        <w:rPr>
          <w:lang w:val="hr-HR"/>
        </w:rPr>
        <w:t>e</w:t>
      </w:r>
      <w:r w:rsidRPr="004650F9">
        <w:rPr>
          <w:lang w:val="hr-HR"/>
        </w:rPr>
        <w:t xml:space="preserve"> kuna, dok na izdatke za dionice i udjele u glavnici otpada </w:t>
      </w:r>
      <w:r w:rsidRPr="000B6DCD">
        <w:rPr>
          <w:lang w:val="hr-HR"/>
        </w:rPr>
        <w:t>132,2 milijuna kuna.</w:t>
      </w:r>
    </w:p>
    <w:p w:rsidR="001F4192" w:rsidRPr="004650F9" w:rsidRDefault="001F4192" w:rsidP="001F4192">
      <w:pPr>
        <w:jc w:val="both"/>
        <w:rPr>
          <w:lang w:val="hr-HR"/>
        </w:rPr>
      </w:pPr>
      <w:r w:rsidRPr="000B6DCD">
        <w:rPr>
          <w:lang w:val="hr-HR"/>
        </w:rPr>
        <w:t>Kretanje ukupnog manjka državnog proračuna te kretanje ukupnih razina izdataka za financijsku imovinu i otplate zajmova će do kraja srednjoročnog razdoblja utjecati na razinu ukupnih primitaka od financijske imovine i zaduživanja. U 2022. godini planirani su primici od financijske imovine i zaduživanja u iznosu od 39,4 milijarde kuna i izdaci za financijsku imovinu i otplate zajmova u iznosu od 32,1 milijardu kuna, dok su u 2023. godini planirani primici od financijske imovine i zaduživanja u iznosu od 31,6 milijardi kuna, a izdaci za financijsku imovinu i otplate zajmova u iznosu od 27,3 milijarde kuna.</w:t>
      </w:r>
    </w:p>
    <w:p w:rsidR="001F4192" w:rsidRDefault="001F4192" w:rsidP="00533F79">
      <w:pPr>
        <w:spacing w:before="240" w:after="0" w:line="240" w:lineRule="auto"/>
        <w:rPr>
          <w:i/>
          <w:lang w:val="hr-HR"/>
        </w:rPr>
      </w:pPr>
    </w:p>
    <w:p w:rsidR="001F4192" w:rsidRDefault="001F4192" w:rsidP="00533F79">
      <w:pPr>
        <w:spacing w:before="240" w:after="0" w:line="240" w:lineRule="auto"/>
        <w:rPr>
          <w:i/>
          <w:lang w:val="hr-HR"/>
        </w:rPr>
      </w:pPr>
    </w:p>
    <w:p w:rsidR="001F4192" w:rsidRDefault="001F4192" w:rsidP="00533F79">
      <w:pPr>
        <w:spacing w:before="240" w:after="0" w:line="240" w:lineRule="auto"/>
        <w:rPr>
          <w:i/>
          <w:lang w:val="hr-HR"/>
        </w:rPr>
      </w:pPr>
    </w:p>
    <w:p w:rsidR="001F4192" w:rsidRDefault="001F4192" w:rsidP="00533F79">
      <w:pPr>
        <w:spacing w:before="240" w:after="0" w:line="240" w:lineRule="auto"/>
        <w:rPr>
          <w:i/>
          <w:lang w:val="hr-HR"/>
        </w:rPr>
      </w:pPr>
    </w:p>
    <w:p w:rsidR="001F4192" w:rsidRDefault="001F4192" w:rsidP="00533F79">
      <w:pPr>
        <w:spacing w:before="240" w:after="0" w:line="240" w:lineRule="auto"/>
        <w:rPr>
          <w:i/>
          <w:lang w:val="hr-HR"/>
        </w:rPr>
      </w:pPr>
    </w:p>
    <w:p w:rsidR="00695821" w:rsidRDefault="00DB0827" w:rsidP="00533F79">
      <w:pPr>
        <w:spacing w:before="240" w:after="0" w:line="240" w:lineRule="auto"/>
        <w:rPr>
          <w:i/>
          <w:lang w:val="hr-HR"/>
        </w:rPr>
      </w:pPr>
      <w:r w:rsidRPr="00F70B2A">
        <w:rPr>
          <w:i/>
          <w:lang w:val="hr-HR"/>
        </w:rPr>
        <w:t xml:space="preserve">Tablica </w:t>
      </w:r>
      <w:r w:rsidR="00533F79" w:rsidRPr="00F70B2A">
        <w:rPr>
          <w:i/>
          <w:lang w:val="hr-HR"/>
        </w:rPr>
        <w:fldChar w:fldCharType="begin"/>
      </w:r>
      <w:r w:rsidR="00533F79" w:rsidRPr="00F70B2A">
        <w:rPr>
          <w:i/>
          <w:lang w:val="hr-HR"/>
        </w:rPr>
        <w:instrText xml:space="preserve"> SEQ Tablica \* ARABIC </w:instrText>
      </w:r>
      <w:r w:rsidR="00533F79" w:rsidRPr="00F70B2A">
        <w:rPr>
          <w:i/>
          <w:lang w:val="hr-HR"/>
        </w:rPr>
        <w:fldChar w:fldCharType="separate"/>
      </w:r>
      <w:r w:rsidR="00B5313A">
        <w:rPr>
          <w:i/>
          <w:noProof/>
          <w:lang w:val="hr-HR"/>
        </w:rPr>
        <w:t>12</w:t>
      </w:r>
      <w:r w:rsidR="00533F79" w:rsidRPr="00F70B2A">
        <w:rPr>
          <w:i/>
          <w:lang w:val="hr-HR"/>
        </w:rPr>
        <w:fldChar w:fldCharType="end"/>
      </w:r>
      <w:r w:rsidR="001F479B" w:rsidRPr="00F70B2A">
        <w:rPr>
          <w:i/>
          <w:lang w:val="hr-HR"/>
        </w:rPr>
        <w:t xml:space="preserve">: Račun prihoda, </w:t>
      </w:r>
      <w:r w:rsidR="00695821" w:rsidRPr="00F70B2A">
        <w:rPr>
          <w:i/>
          <w:lang w:val="hr-HR"/>
        </w:rPr>
        <w:t>rashoda i financiranja državnog proračuna</w:t>
      </w:r>
      <w:bookmarkEnd w:id="33"/>
    </w:p>
    <w:p w:rsidR="007D0BF8" w:rsidRDefault="009A3862" w:rsidP="00533F79">
      <w:pPr>
        <w:spacing w:before="240" w:after="0" w:line="240" w:lineRule="auto"/>
        <w:rPr>
          <w:i/>
          <w:lang w:val="hr-HR"/>
        </w:rPr>
      </w:pPr>
      <w:r w:rsidRPr="009A3862">
        <w:rPr>
          <w:noProof/>
          <w:lang w:val="hr-HR" w:eastAsia="hr-HR"/>
        </w:rPr>
        <w:drawing>
          <wp:inline distT="0" distB="0" distL="0" distR="0">
            <wp:extent cx="5760720" cy="1707493"/>
            <wp:effectExtent l="0" t="0" r="0" b="762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707493"/>
                    </a:xfrm>
                    <a:prstGeom prst="rect">
                      <a:avLst/>
                    </a:prstGeom>
                    <a:noFill/>
                    <a:ln>
                      <a:noFill/>
                    </a:ln>
                  </pic:spPr>
                </pic:pic>
              </a:graphicData>
            </a:graphic>
          </wp:inline>
        </w:drawing>
      </w:r>
    </w:p>
    <w:p w:rsidR="00695821" w:rsidRPr="00F70B2A" w:rsidRDefault="00695821" w:rsidP="00695821">
      <w:pPr>
        <w:rPr>
          <w:i/>
          <w:sz w:val="20"/>
          <w:lang w:val="hr-HR"/>
        </w:rPr>
      </w:pPr>
      <w:r w:rsidRPr="00F70B2A">
        <w:rPr>
          <w:i/>
          <w:sz w:val="20"/>
          <w:lang w:val="hr-HR"/>
        </w:rPr>
        <w:t>Izvor: Ministarstvo financija</w:t>
      </w:r>
    </w:p>
    <w:p w:rsidR="00695821" w:rsidRPr="00F70B2A" w:rsidRDefault="00695821" w:rsidP="00695821">
      <w:pPr>
        <w:rPr>
          <w:lang w:val="hr-HR"/>
        </w:rPr>
      </w:pPr>
    </w:p>
    <w:p w:rsidR="00695821" w:rsidRPr="00F70B2A" w:rsidRDefault="00695821" w:rsidP="00695821">
      <w:pPr>
        <w:rPr>
          <w:lang w:val="hr-HR"/>
        </w:rPr>
      </w:pPr>
      <w:r w:rsidRPr="00F70B2A">
        <w:rPr>
          <w:lang w:val="hr-HR"/>
        </w:rPr>
        <w:t xml:space="preserve"> </w:t>
      </w:r>
      <w:r w:rsidRPr="00F70B2A">
        <w:rPr>
          <w:lang w:val="hr-HR"/>
        </w:rPr>
        <w:br w:type="page"/>
      </w:r>
    </w:p>
    <w:p w:rsidR="00306477" w:rsidRPr="00F70B2A" w:rsidRDefault="00306477" w:rsidP="0029489C">
      <w:pPr>
        <w:pStyle w:val="Heading1"/>
        <w:numPr>
          <w:ilvl w:val="0"/>
          <w:numId w:val="17"/>
        </w:numPr>
        <w:rPr>
          <w:lang w:val="hr-HR"/>
        </w:rPr>
      </w:pPr>
      <w:bookmarkStart w:id="34" w:name="_Toc445299434"/>
      <w:bookmarkStart w:id="35" w:name="_Toc54858242"/>
      <w:r w:rsidRPr="00F70B2A">
        <w:rPr>
          <w:lang w:val="hr-HR"/>
        </w:rPr>
        <w:t>STANJE DOSPJELIH NEPODMIRENIH OBVEZA PRORAČUNSKIH KORISNIKA DRŽAVNOG PRORAČUNA</w:t>
      </w:r>
      <w:bookmarkEnd w:id="34"/>
      <w:bookmarkEnd w:id="35"/>
    </w:p>
    <w:p w:rsidR="00306477" w:rsidRPr="00F70B2A" w:rsidRDefault="00306477" w:rsidP="00306477">
      <w:pPr>
        <w:rPr>
          <w:sz w:val="6"/>
          <w:szCs w:val="6"/>
          <w:lang w:val="hr-HR"/>
        </w:rPr>
      </w:pPr>
    </w:p>
    <w:p w:rsidR="00506C0E" w:rsidRPr="00F70B2A" w:rsidRDefault="00306477" w:rsidP="00BE094B">
      <w:pPr>
        <w:spacing w:before="240" w:after="0" w:line="240" w:lineRule="auto"/>
        <w:rPr>
          <w:i/>
          <w:lang w:val="hr-HR"/>
        </w:rPr>
      </w:pPr>
      <w:r w:rsidRPr="00F70B2A">
        <w:rPr>
          <w:i/>
          <w:lang w:val="hr-HR"/>
        </w:rPr>
        <w:t xml:space="preserve">Tablica </w:t>
      </w:r>
      <w:r w:rsidRPr="00F70B2A">
        <w:rPr>
          <w:i/>
          <w:lang w:val="hr-HR"/>
        </w:rPr>
        <w:fldChar w:fldCharType="begin"/>
      </w:r>
      <w:r w:rsidRPr="00F70B2A">
        <w:rPr>
          <w:i/>
          <w:lang w:val="hr-HR"/>
        </w:rPr>
        <w:instrText xml:space="preserve"> SEQ Tablica \* ARABIC </w:instrText>
      </w:r>
      <w:r w:rsidRPr="00F70B2A">
        <w:rPr>
          <w:i/>
          <w:lang w:val="hr-HR"/>
        </w:rPr>
        <w:fldChar w:fldCharType="separate"/>
      </w:r>
      <w:r w:rsidR="00B5313A">
        <w:rPr>
          <w:i/>
          <w:noProof/>
          <w:lang w:val="hr-HR"/>
        </w:rPr>
        <w:t>13</w:t>
      </w:r>
      <w:r w:rsidRPr="00F70B2A">
        <w:rPr>
          <w:i/>
          <w:lang w:val="hr-HR"/>
        </w:rPr>
        <w:fldChar w:fldCharType="end"/>
      </w:r>
      <w:r w:rsidRPr="00F70B2A">
        <w:rPr>
          <w:i/>
          <w:lang w:val="hr-HR"/>
        </w:rPr>
        <w:t xml:space="preserve">: </w:t>
      </w:r>
      <w:r w:rsidR="00D668A6" w:rsidRPr="00F70B2A">
        <w:rPr>
          <w:i/>
          <w:lang w:val="hr-HR"/>
        </w:rPr>
        <w:t xml:space="preserve">Stanje dospjelih nepodmirenih obveza ministarstava i drugih državnih tijela na razini razdjela organizacijske klasifikacije  </w:t>
      </w:r>
    </w:p>
    <w:p w:rsidR="00BD4FC5" w:rsidRPr="00F70B2A" w:rsidRDefault="00F61501" w:rsidP="00BE094B">
      <w:pPr>
        <w:spacing w:before="240" w:after="0" w:line="240" w:lineRule="auto"/>
        <w:rPr>
          <w:i/>
          <w:highlight w:val="yellow"/>
          <w:lang w:val="hr-HR"/>
        </w:rPr>
      </w:pPr>
      <w:r w:rsidRPr="00F61501">
        <w:rPr>
          <w:noProof/>
          <w:lang w:val="hr-HR" w:eastAsia="hr-HR"/>
        </w:rPr>
        <w:drawing>
          <wp:inline distT="0" distB="0" distL="0" distR="0">
            <wp:extent cx="4570704" cy="6901733"/>
            <wp:effectExtent l="0" t="0" r="1905"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98204" cy="6943257"/>
                    </a:xfrm>
                    <a:prstGeom prst="rect">
                      <a:avLst/>
                    </a:prstGeom>
                    <a:noFill/>
                    <a:ln>
                      <a:noFill/>
                    </a:ln>
                  </pic:spPr>
                </pic:pic>
              </a:graphicData>
            </a:graphic>
          </wp:inline>
        </w:drawing>
      </w:r>
    </w:p>
    <w:p w:rsidR="00D668A6" w:rsidRPr="00F70B2A" w:rsidRDefault="00D668A6" w:rsidP="00D668A6">
      <w:pPr>
        <w:spacing w:after="0"/>
        <w:jc w:val="both"/>
        <w:rPr>
          <w:rFonts w:cs="Times New Roman"/>
          <w:i/>
          <w:sz w:val="20"/>
          <w:lang w:val="hr-HR"/>
        </w:rPr>
      </w:pPr>
      <w:r w:rsidRPr="00F70B2A">
        <w:rPr>
          <w:rFonts w:cs="Times New Roman"/>
          <w:i/>
          <w:sz w:val="20"/>
          <w:lang w:val="hr-HR"/>
        </w:rPr>
        <w:t xml:space="preserve">* </w:t>
      </w:r>
      <w:r w:rsidR="00670082" w:rsidRPr="00670082">
        <w:rPr>
          <w:rFonts w:cs="Times New Roman"/>
          <w:i/>
          <w:sz w:val="20"/>
          <w:lang w:val="hr-HR"/>
        </w:rPr>
        <w:t>Podaci iz Izvještaja o obvezama za razdoblje od 1. siječnja do 31. prosinca 2019. i od 1. siječnja do 30. rujna 2020.</w:t>
      </w:r>
    </w:p>
    <w:p w:rsidR="00506C0E" w:rsidRPr="00F70B2A" w:rsidRDefault="00506C0E" w:rsidP="00506C0E">
      <w:pPr>
        <w:spacing w:after="0"/>
        <w:rPr>
          <w:i/>
          <w:sz w:val="20"/>
          <w:lang w:val="hr-HR"/>
        </w:rPr>
      </w:pPr>
      <w:r w:rsidRPr="00F70B2A">
        <w:rPr>
          <w:i/>
          <w:sz w:val="20"/>
          <w:lang w:val="hr-HR"/>
        </w:rPr>
        <w:t>Izvor: Ministarstvo financija</w:t>
      </w:r>
    </w:p>
    <w:p w:rsidR="00F61501" w:rsidRDefault="00F61501" w:rsidP="00695821">
      <w:pPr>
        <w:rPr>
          <w:lang w:val="hr-HR"/>
        </w:rPr>
      </w:pPr>
    </w:p>
    <w:p w:rsidR="00F61501" w:rsidRPr="00F70B2A" w:rsidRDefault="00F61501" w:rsidP="00F61501">
      <w:pPr>
        <w:spacing w:before="240" w:after="240" w:line="240" w:lineRule="auto"/>
        <w:rPr>
          <w:i/>
          <w:lang w:val="hr-HR"/>
        </w:rPr>
      </w:pPr>
      <w:r w:rsidRPr="00F70B2A">
        <w:rPr>
          <w:i/>
          <w:lang w:val="hr-HR"/>
        </w:rPr>
        <w:t xml:space="preserve">Tablica </w:t>
      </w:r>
      <w:r w:rsidRPr="00F70B2A">
        <w:rPr>
          <w:i/>
          <w:lang w:val="hr-HR"/>
        </w:rPr>
        <w:fldChar w:fldCharType="begin"/>
      </w:r>
      <w:r w:rsidRPr="00F70B2A">
        <w:rPr>
          <w:i/>
          <w:lang w:val="hr-HR"/>
        </w:rPr>
        <w:instrText xml:space="preserve"> SEQ Tablica \* ARABIC </w:instrText>
      </w:r>
      <w:r w:rsidRPr="00F70B2A">
        <w:rPr>
          <w:i/>
          <w:lang w:val="hr-HR"/>
        </w:rPr>
        <w:fldChar w:fldCharType="separate"/>
      </w:r>
      <w:r w:rsidR="00B5313A">
        <w:rPr>
          <w:i/>
          <w:noProof/>
          <w:lang w:val="hr-HR"/>
        </w:rPr>
        <w:t>14</w:t>
      </w:r>
      <w:r w:rsidRPr="00F70B2A">
        <w:rPr>
          <w:i/>
          <w:lang w:val="hr-HR"/>
        </w:rPr>
        <w:fldChar w:fldCharType="end"/>
      </w:r>
      <w:r w:rsidRPr="00F70B2A">
        <w:rPr>
          <w:i/>
          <w:lang w:val="hr-HR"/>
        </w:rPr>
        <w:t>: Stanje dospjelih nepodmirenih obveza izvanproračunskih korisnika</w:t>
      </w:r>
    </w:p>
    <w:p w:rsidR="00F61501" w:rsidRDefault="00F61501" w:rsidP="00695821">
      <w:pPr>
        <w:rPr>
          <w:lang w:val="hr-HR"/>
        </w:rPr>
      </w:pPr>
      <w:r w:rsidRPr="00F61501">
        <w:rPr>
          <w:noProof/>
          <w:lang w:val="hr-HR" w:eastAsia="hr-HR"/>
        </w:rPr>
        <w:drawing>
          <wp:inline distT="0" distB="0" distL="0" distR="0">
            <wp:extent cx="5096786" cy="257995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0481" cy="2602073"/>
                    </a:xfrm>
                    <a:prstGeom prst="rect">
                      <a:avLst/>
                    </a:prstGeom>
                    <a:noFill/>
                    <a:ln>
                      <a:noFill/>
                    </a:ln>
                  </pic:spPr>
                </pic:pic>
              </a:graphicData>
            </a:graphic>
          </wp:inline>
        </w:drawing>
      </w:r>
    </w:p>
    <w:p w:rsidR="00F61501" w:rsidRDefault="00F61501" w:rsidP="00F61501">
      <w:pPr>
        <w:spacing w:after="0" w:line="240" w:lineRule="auto"/>
        <w:jc w:val="both"/>
        <w:rPr>
          <w:rFonts w:cs="Times New Roman"/>
          <w:i/>
          <w:sz w:val="20"/>
          <w:lang w:val="hr-HR"/>
        </w:rPr>
      </w:pPr>
      <w:r w:rsidRPr="00F70B2A">
        <w:rPr>
          <w:rFonts w:cs="Times New Roman"/>
          <w:i/>
          <w:sz w:val="20"/>
          <w:lang w:val="hr-HR"/>
        </w:rPr>
        <w:t>*Podaci iz Izvještaja o obvezama za razdoblje od 1. siječnja do 31. prosinca 201</w:t>
      </w:r>
      <w:r>
        <w:rPr>
          <w:rFonts w:cs="Times New Roman"/>
          <w:i/>
          <w:sz w:val="20"/>
          <w:lang w:val="hr-HR"/>
        </w:rPr>
        <w:t>9</w:t>
      </w:r>
      <w:r w:rsidRPr="00F70B2A">
        <w:rPr>
          <w:rFonts w:cs="Times New Roman"/>
          <w:i/>
          <w:sz w:val="20"/>
          <w:lang w:val="hr-HR"/>
        </w:rPr>
        <w:t>. i od 1. siječnja do 30. rujna 20</w:t>
      </w:r>
      <w:r>
        <w:rPr>
          <w:rFonts w:cs="Times New Roman"/>
          <w:i/>
          <w:sz w:val="20"/>
          <w:lang w:val="hr-HR"/>
        </w:rPr>
        <w:t>20</w:t>
      </w:r>
      <w:r w:rsidRPr="00F70B2A">
        <w:rPr>
          <w:rFonts w:cs="Times New Roman"/>
          <w:i/>
          <w:sz w:val="20"/>
          <w:lang w:val="hr-HR"/>
        </w:rPr>
        <w:t>.</w:t>
      </w:r>
      <w:r w:rsidRPr="00F70B2A">
        <w:rPr>
          <w:rFonts w:cs="Times New Roman"/>
          <w:i/>
          <w:sz w:val="20"/>
          <w:lang w:val="hr-HR"/>
        </w:rPr>
        <w:tab/>
      </w:r>
      <w:r w:rsidRPr="00F70B2A">
        <w:rPr>
          <w:rFonts w:cs="Times New Roman"/>
          <w:i/>
          <w:sz w:val="20"/>
          <w:lang w:val="hr-HR"/>
        </w:rPr>
        <w:tab/>
      </w:r>
      <w:r w:rsidRPr="00F70B2A">
        <w:rPr>
          <w:rFonts w:cs="Times New Roman"/>
          <w:i/>
          <w:sz w:val="20"/>
          <w:lang w:val="hr-HR"/>
        </w:rPr>
        <w:tab/>
      </w:r>
    </w:p>
    <w:p w:rsidR="00F61501" w:rsidRPr="00F70B2A" w:rsidRDefault="00F61501" w:rsidP="00F61501">
      <w:pPr>
        <w:spacing w:after="0" w:line="240" w:lineRule="auto"/>
        <w:jc w:val="both"/>
        <w:rPr>
          <w:rFonts w:cs="Times New Roman"/>
          <w:i/>
          <w:sz w:val="20"/>
          <w:lang w:val="hr-HR"/>
        </w:rPr>
      </w:pPr>
      <w:r>
        <w:rPr>
          <w:rFonts w:cs="Times New Roman"/>
          <w:i/>
          <w:sz w:val="20"/>
          <w:lang w:val="hr-HR"/>
        </w:rPr>
        <w:t>**Radi se o obvezama društva HŽ Infrastruktura d.o.o., koje uključuju i obveze prema Ministarstvu financija za plaćene rate po namjenskim i investicijskim kreditima uz državno jamstvo.</w:t>
      </w:r>
    </w:p>
    <w:p w:rsidR="00F61501" w:rsidRPr="00F70B2A" w:rsidRDefault="00F61501" w:rsidP="00F61501">
      <w:pPr>
        <w:spacing w:after="0"/>
        <w:rPr>
          <w:i/>
          <w:sz w:val="20"/>
          <w:lang w:val="hr-HR"/>
        </w:rPr>
      </w:pPr>
      <w:r w:rsidRPr="00F70B2A">
        <w:rPr>
          <w:i/>
          <w:sz w:val="20"/>
          <w:lang w:val="hr-HR"/>
        </w:rPr>
        <w:t>Izvor: Ministarstvo financija</w:t>
      </w:r>
    </w:p>
    <w:p w:rsidR="00F61501" w:rsidRDefault="00F61501" w:rsidP="00695821">
      <w:pPr>
        <w:rPr>
          <w:lang w:val="hr-HR"/>
        </w:rPr>
      </w:pPr>
    </w:p>
    <w:p w:rsidR="00F61501" w:rsidRDefault="00F61501" w:rsidP="00695821">
      <w:pPr>
        <w:rPr>
          <w:lang w:val="hr-HR"/>
        </w:rPr>
      </w:pPr>
    </w:p>
    <w:p w:rsidR="00306477" w:rsidRPr="00F70B2A" w:rsidRDefault="00306477" w:rsidP="00695821">
      <w:pPr>
        <w:rPr>
          <w:lang w:val="hr-HR"/>
        </w:rPr>
      </w:pPr>
      <w:r w:rsidRPr="00F70B2A">
        <w:rPr>
          <w:lang w:val="hr-HR"/>
        </w:rPr>
        <w:br w:type="page"/>
      </w:r>
    </w:p>
    <w:p w:rsidR="00695821" w:rsidRPr="00F70B2A" w:rsidRDefault="00695821" w:rsidP="0029489C">
      <w:pPr>
        <w:pStyle w:val="Heading1"/>
        <w:numPr>
          <w:ilvl w:val="0"/>
          <w:numId w:val="17"/>
        </w:numPr>
        <w:rPr>
          <w:lang w:val="hr-HR"/>
        </w:rPr>
      </w:pPr>
      <w:bookmarkStart w:id="36" w:name="_Toc54858243"/>
      <w:r w:rsidRPr="00F70B2A">
        <w:rPr>
          <w:lang w:val="hr-HR"/>
        </w:rPr>
        <w:t>PROCJENA UKUPNOG MANJKA</w:t>
      </w:r>
      <w:r w:rsidR="003052F1" w:rsidRPr="00F70B2A">
        <w:rPr>
          <w:lang w:val="hr-HR"/>
        </w:rPr>
        <w:t>/VIŠKA</w:t>
      </w:r>
      <w:r w:rsidRPr="00F70B2A">
        <w:rPr>
          <w:lang w:val="hr-HR"/>
        </w:rPr>
        <w:t xml:space="preserve"> OPĆE DRŽAVE</w:t>
      </w:r>
      <w:bookmarkEnd w:id="36"/>
      <w:r w:rsidRPr="00F70B2A">
        <w:rPr>
          <w:lang w:val="hr-HR"/>
        </w:rPr>
        <w:t xml:space="preserve"> </w:t>
      </w:r>
    </w:p>
    <w:p w:rsidR="00695821" w:rsidRPr="00F70B2A" w:rsidRDefault="00695821" w:rsidP="00695821">
      <w:pPr>
        <w:rPr>
          <w:lang w:val="hr-HR"/>
        </w:rPr>
      </w:pPr>
    </w:p>
    <w:p w:rsidR="00F77610" w:rsidRPr="00B83569" w:rsidRDefault="00F77610" w:rsidP="00F77610">
      <w:pPr>
        <w:spacing w:after="120"/>
        <w:jc w:val="both"/>
        <w:rPr>
          <w:rFonts w:ascii="Calibri" w:hAnsi="Calibri"/>
          <w:lang w:val="hr-HR"/>
        </w:rPr>
      </w:pPr>
      <w:bookmarkStart w:id="37" w:name="_Toc445241799"/>
      <w:r w:rsidRPr="00B83569">
        <w:rPr>
          <w:rFonts w:ascii="Calibri" w:hAnsi="Calibri"/>
          <w:lang w:val="hr-HR"/>
        </w:rPr>
        <w:t xml:space="preserve">U skladu s kretanjima prihoda i rashoda svih razina općeg proračuna, manjak općeg proračuna prema nacionalnoj metodologiji u 2021. godini projicira se na razini od </w:t>
      </w:r>
      <w:r>
        <w:rPr>
          <w:rFonts w:ascii="Calibri" w:hAnsi="Calibri"/>
          <w:lang w:val="hr-HR"/>
        </w:rPr>
        <w:t xml:space="preserve">12,2 milijarde kuna ili </w:t>
      </w:r>
      <w:r w:rsidRPr="00B83569">
        <w:rPr>
          <w:rFonts w:ascii="Calibri" w:hAnsi="Calibri"/>
          <w:lang w:val="hr-HR"/>
        </w:rPr>
        <w:t>3,</w:t>
      </w:r>
      <w:r>
        <w:rPr>
          <w:rFonts w:ascii="Calibri" w:hAnsi="Calibri"/>
          <w:lang w:val="hr-HR"/>
        </w:rPr>
        <w:t>1</w:t>
      </w:r>
      <w:r w:rsidRPr="00B83569">
        <w:rPr>
          <w:rFonts w:ascii="Calibri" w:hAnsi="Calibri"/>
          <w:lang w:val="hr-HR"/>
        </w:rPr>
        <w:t xml:space="preserve">% BDP-a. U 2022. projicira se manjak od </w:t>
      </w:r>
      <w:r>
        <w:rPr>
          <w:rFonts w:ascii="Calibri" w:hAnsi="Calibri"/>
          <w:lang w:val="hr-HR"/>
        </w:rPr>
        <w:t xml:space="preserve">7,6 milijardi kuna ili </w:t>
      </w:r>
      <w:r w:rsidRPr="00B83569">
        <w:rPr>
          <w:rFonts w:ascii="Calibri" w:hAnsi="Calibri"/>
          <w:lang w:val="hr-HR"/>
        </w:rPr>
        <w:t>1,</w:t>
      </w:r>
      <w:r>
        <w:rPr>
          <w:rFonts w:ascii="Calibri" w:hAnsi="Calibri"/>
          <w:lang w:val="hr-HR"/>
        </w:rPr>
        <w:t>9</w:t>
      </w:r>
      <w:r w:rsidRPr="00B83569">
        <w:rPr>
          <w:rFonts w:ascii="Calibri" w:hAnsi="Calibri"/>
          <w:lang w:val="hr-HR"/>
        </w:rPr>
        <w:t xml:space="preserve">% BDP-a, dok se u 2023. godini očekuje manjak od </w:t>
      </w:r>
      <w:r>
        <w:rPr>
          <w:rFonts w:ascii="Calibri" w:hAnsi="Calibri"/>
          <w:lang w:val="hr-HR"/>
        </w:rPr>
        <w:t xml:space="preserve">4 milijarde kuna ili </w:t>
      </w:r>
      <w:r w:rsidRPr="00B83569">
        <w:rPr>
          <w:rFonts w:ascii="Calibri" w:hAnsi="Calibri"/>
          <w:lang w:val="hr-HR"/>
        </w:rPr>
        <w:t>0,</w:t>
      </w:r>
      <w:r>
        <w:rPr>
          <w:rFonts w:ascii="Calibri" w:hAnsi="Calibri"/>
          <w:lang w:val="hr-HR"/>
        </w:rPr>
        <w:t>9</w:t>
      </w:r>
      <w:r w:rsidRPr="00B83569">
        <w:rPr>
          <w:rFonts w:ascii="Calibri" w:hAnsi="Calibri"/>
          <w:lang w:val="hr-HR"/>
        </w:rPr>
        <w:t>% BDP-a. Pritom se za državni proračun u 2021. očekuje manjak od 2,7% BDP-a, u 2022. od 1,</w:t>
      </w:r>
      <w:r>
        <w:rPr>
          <w:rFonts w:ascii="Calibri" w:hAnsi="Calibri"/>
          <w:lang w:val="hr-HR"/>
        </w:rPr>
        <w:t>8</w:t>
      </w:r>
      <w:r w:rsidRPr="00B83569">
        <w:rPr>
          <w:rFonts w:ascii="Calibri" w:hAnsi="Calibri"/>
          <w:lang w:val="hr-HR"/>
        </w:rPr>
        <w:t xml:space="preserve">% BDP-a, dok se u 2023. godini očekuje manjak državnog proračuna od </w:t>
      </w:r>
      <w:r>
        <w:rPr>
          <w:rFonts w:ascii="Calibri" w:hAnsi="Calibri"/>
          <w:lang w:val="hr-HR"/>
        </w:rPr>
        <w:t>1</w:t>
      </w:r>
      <w:r w:rsidRPr="00B83569">
        <w:rPr>
          <w:rFonts w:ascii="Calibri" w:hAnsi="Calibri"/>
          <w:lang w:val="hr-HR"/>
        </w:rPr>
        <w:t xml:space="preserve">% BDP-a. Izvanproračunski korisnici će u 2021. imati </w:t>
      </w:r>
      <w:r>
        <w:rPr>
          <w:rFonts w:ascii="Calibri" w:hAnsi="Calibri"/>
          <w:lang w:val="hr-HR"/>
        </w:rPr>
        <w:t>višak od 0,1% BDP-a</w:t>
      </w:r>
      <w:r w:rsidRPr="00B83569">
        <w:rPr>
          <w:rFonts w:ascii="Calibri" w:hAnsi="Calibri"/>
          <w:lang w:val="hr-HR"/>
        </w:rPr>
        <w:t xml:space="preserve"> dok se u 2022. i 2023. </w:t>
      </w:r>
      <w:r>
        <w:rPr>
          <w:rFonts w:ascii="Calibri" w:hAnsi="Calibri"/>
          <w:lang w:val="hr-HR"/>
        </w:rPr>
        <w:t xml:space="preserve">godini očekuje višak od 0,3% BDP-a odnosno 0,5% BDP-a. </w:t>
      </w:r>
      <w:r w:rsidRPr="00B83569">
        <w:rPr>
          <w:rFonts w:ascii="Calibri" w:hAnsi="Calibri"/>
          <w:lang w:val="hr-HR"/>
        </w:rPr>
        <w:t>Jedinice lokalne i područne (regionalne) samouprave zabilježit će manjak od 0,5% BDP-a u 2021. , 0,</w:t>
      </w:r>
      <w:r>
        <w:rPr>
          <w:rFonts w:ascii="Calibri" w:hAnsi="Calibri"/>
          <w:lang w:val="hr-HR"/>
        </w:rPr>
        <w:t>4</w:t>
      </w:r>
      <w:r w:rsidRPr="00B83569">
        <w:rPr>
          <w:rFonts w:ascii="Calibri" w:hAnsi="Calibri"/>
          <w:lang w:val="hr-HR"/>
        </w:rPr>
        <w:t xml:space="preserve">% BDP-a u 2022. </w:t>
      </w:r>
      <w:r>
        <w:rPr>
          <w:rFonts w:ascii="Calibri" w:hAnsi="Calibri"/>
          <w:lang w:val="hr-HR"/>
        </w:rPr>
        <w:t>i</w:t>
      </w:r>
      <w:r w:rsidRPr="00B83569">
        <w:rPr>
          <w:rFonts w:ascii="Calibri" w:hAnsi="Calibri"/>
          <w:lang w:val="hr-HR"/>
        </w:rPr>
        <w:t xml:space="preserve"> 2023. godini.</w:t>
      </w:r>
    </w:p>
    <w:p w:rsidR="00F77610" w:rsidRDefault="00F77610" w:rsidP="00F77610">
      <w:pPr>
        <w:spacing w:after="120"/>
        <w:jc w:val="both"/>
        <w:rPr>
          <w:rFonts w:ascii="Calibri" w:hAnsi="Calibri"/>
          <w:lang w:val="hr-HR"/>
        </w:rPr>
      </w:pPr>
      <w:r w:rsidRPr="00B83569">
        <w:rPr>
          <w:rFonts w:ascii="Calibri" w:hAnsi="Calibri"/>
          <w:lang w:val="hr-HR"/>
        </w:rPr>
        <w:t>Kada se ovim veličinama pridodaju prilagodbe nacionalne metodologije računskog plana metodologiji ESA 2010 te projekcije manjka/viška trgovačkih društava i ostalih pravnih osoba koje su statistički uključene u sektor opće države, očekuje se da će planirani manjak općeg proračuna iznositi 2,9% BDP-a u 2021. godini. U 2022. projiciran je manjak proračuna od 2,1% BDP-a, a u 2023. godini očekuje se manjak od 1,6% BDP-a.</w:t>
      </w:r>
    </w:p>
    <w:p w:rsidR="00695821" w:rsidRPr="00F70B2A" w:rsidRDefault="00DB0827" w:rsidP="00533F79">
      <w:pPr>
        <w:spacing w:before="240" w:after="0" w:line="240" w:lineRule="auto"/>
        <w:rPr>
          <w:i/>
          <w:lang w:val="hr-HR"/>
        </w:rPr>
      </w:pPr>
      <w:r w:rsidRPr="0058494D">
        <w:rPr>
          <w:i/>
          <w:lang w:val="hr-HR"/>
        </w:rPr>
        <w:t xml:space="preserve">Tablica </w:t>
      </w:r>
      <w:r w:rsidR="00533F79" w:rsidRPr="0058494D">
        <w:rPr>
          <w:i/>
          <w:lang w:val="hr-HR"/>
        </w:rPr>
        <w:fldChar w:fldCharType="begin"/>
      </w:r>
      <w:r w:rsidR="00533F79" w:rsidRPr="0058494D">
        <w:rPr>
          <w:i/>
          <w:lang w:val="hr-HR"/>
        </w:rPr>
        <w:instrText xml:space="preserve"> SEQ Tablica \* ARABIC </w:instrText>
      </w:r>
      <w:r w:rsidR="00533F79" w:rsidRPr="0058494D">
        <w:rPr>
          <w:i/>
          <w:lang w:val="hr-HR"/>
        </w:rPr>
        <w:fldChar w:fldCharType="separate"/>
      </w:r>
      <w:r w:rsidR="00B5313A">
        <w:rPr>
          <w:i/>
          <w:noProof/>
          <w:lang w:val="hr-HR"/>
        </w:rPr>
        <w:t>15</w:t>
      </w:r>
      <w:r w:rsidR="00533F79" w:rsidRPr="0058494D">
        <w:rPr>
          <w:i/>
          <w:lang w:val="hr-HR"/>
        </w:rPr>
        <w:fldChar w:fldCharType="end"/>
      </w:r>
      <w:r w:rsidR="00695821" w:rsidRPr="0058494D">
        <w:rPr>
          <w:i/>
          <w:lang w:val="hr-HR"/>
        </w:rPr>
        <w:t>: Procjena ukupnog manjka/viška opće države</w:t>
      </w:r>
      <w:bookmarkEnd w:id="37"/>
    </w:p>
    <w:p w:rsidR="00E65518" w:rsidRDefault="00F77610" w:rsidP="00E65518">
      <w:pPr>
        <w:spacing w:before="240" w:after="0"/>
        <w:jc w:val="both"/>
        <w:rPr>
          <w:i/>
          <w:sz w:val="20"/>
          <w:lang w:val="hr-HR"/>
        </w:rPr>
      </w:pPr>
      <w:r w:rsidRPr="00F77610">
        <w:rPr>
          <w:noProof/>
          <w:lang w:val="hr-HR" w:eastAsia="hr-HR"/>
        </w:rPr>
        <w:drawing>
          <wp:inline distT="0" distB="0" distL="0" distR="0">
            <wp:extent cx="5760720" cy="4479853"/>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4479853"/>
                    </a:xfrm>
                    <a:prstGeom prst="rect">
                      <a:avLst/>
                    </a:prstGeom>
                    <a:noFill/>
                    <a:ln>
                      <a:noFill/>
                    </a:ln>
                  </pic:spPr>
                </pic:pic>
              </a:graphicData>
            </a:graphic>
          </wp:inline>
        </w:drawing>
      </w:r>
    </w:p>
    <w:p w:rsidR="00695821" w:rsidRPr="00F70B2A" w:rsidRDefault="00695821" w:rsidP="00E65518">
      <w:pPr>
        <w:jc w:val="both"/>
        <w:rPr>
          <w:i/>
          <w:sz w:val="20"/>
          <w:lang w:val="hr-HR"/>
        </w:rPr>
      </w:pPr>
      <w:r w:rsidRPr="00F70B2A">
        <w:rPr>
          <w:i/>
          <w:sz w:val="20"/>
          <w:lang w:val="hr-HR"/>
        </w:rPr>
        <w:t>Izvor: Ministarstvo financija</w:t>
      </w:r>
    </w:p>
    <w:p w:rsidR="002838D9" w:rsidRDefault="002838D9" w:rsidP="002A12E4">
      <w:pPr>
        <w:jc w:val="both"/>
        <w:rPr>
          <w:lang w:val="hr-HR"/>
        </w:rPr>
      </w:pPr>
    </w:p>
    <w:p w:rsidR="004A1742" w:rsidRPr="00B35390" w:rsidRDefault="00F77610" w:rsidP="002A12E4">
      <w:pPr>
        <w:jc w:val="both"/>
        <w:rPr>
          <w:lang w:val="hr-HR"/>
        </w:rPr>
      </w:pPr>
      <w:r>
        <w:rPr>
          <w:lang w:val="hr-HR"/>
        </w:rPr>
        <w:t>Nakon snažnog rasta javnog duga u 2020. godini na 87,3% BDP-a, u</w:t>
      </w:r>
      <w:r w:rsidR="0034496D" w:rsidRPr="003C4490">
        <w:rPr>
          <w:lang w:val="hr-HR"/>
        </w:rPr>
        <w:t xml:space="preserve"> skladu s kretanjem </w:t>
      </w:r>
      <w:r w:rsidR="00B35390" w:rsidRPr="003C4490">
        <w:rPr>
          <w:lang w:val="hr-HR"/>
        </w:rPr>
        <w:t>salda proračuna opće države</w:t>
      </w:r>
      <w:r w:rsidR="003C4490" w:rsidRPr="003C4490">
        <w:rPr>
          <w:lang w:val="hr-HR"/>
        </w:rPr>
        <w:t xml:space="preserve"> očekuje se </w:t>
      </w:r>
      <w:r w:rsidR="0034496D" w:rsidRPr="003C4490">
        <w:rPr>
          <w:lang w:val="hr-HR"/>
        </w:rPr>
        <w:t>smanjenje udjela javnog duga u BDP-u</w:t>
      </w:r>
      <w:r w:rsidR="003C4490" w:rsidRPr="003C4490">
        <w:rPr>
          <w:lang w:val="hr-HR"/>
        </w:rPr>
        <w:t xml:space="preserve"> po prosječnoj stopi od 2 postotna boda u nadolazećem trogodišnjem razdoblju, odnosno </w:t>
      </w:r>
      <w:r>
        <w:rPr>
          <w:lang w:val="hr-HR"/>
        </w:rPr>
        <w:t>s</w:t>
      </w:r>
      <w:r w:rsidR="00B9094E" w:rsidRPr="003C4490">
        <w:rPr>
          <w:lang w:val="hr-HR"/>
        </w:rPr>
        <w:t xml:space="preserve"> </w:t>
      </w:r>
      <w:r w:rsidR="003C4490">
        <w:rPr>
          <w:lang w:val="hr-HR"/>
        </w:rPr>
        <w:t>85,3</w:t>
      </w:r>
      <w:r w:rsidR="00663D69" w:rsidRPr="003C4490">
        <w:rPr>
          <w:lang w:val="hr-HR"/>
        </w:rPr>
        <w:t>%</w:t>
      </w:r>
      <w:r w:rsidR="00B9094E" w:rsidRPr="003C4490">
        <w:rPr>
          <w:lang w:val="hr-HR"/>
        </w:rPr>
        <w:t xml:space="preserve"> BDP-a u 20</w:t>
      </w:r>
      <w:r w:rsidR="00870D4F" w:rsidRPr="003C4490">
        <w:rPr>
          <w:lang w:val="hr-HR"/>
        </w:rPr>
        <w:t>2</w:t>
      </w:r>
      <w:r w:rsidR="003C4490">
        <w:rPr>
          <w:lang w:val="hr-HR"/>
        </w:rPr>
        <w:t>1</w:t>
      </w:r>
      <w:r>
        <w:rPr>
          <w:lang w:val="hr-HR"/>
        </w:rPr>
        <w:t xml:space="preserve">. na </w:t>
      </w:r>
      <w:r w:rsidR="003C4490">
        <w:rPr>
          <w:lang w:val="hr-HR"/>
        </w:rPr>
        <w:t>83,4</w:t>
      </w:r>
      <w:r w:rsidR="00663D69" w:rsidRPr="003C4490">
        <w:rPr>
          <w:lang w:val="hr-HR"/>
        </w:rPr>
        <w:t>%</w:t>
      </w:r>
      <w:r w:rsidR="00A618FA" w:rsidRPr="003C4490">
        <w:rPr>
          <w:lang w:val="hr-HR"/>
        </w:rPr>
        <w:t xml:space="preserve"> </w:t>
      </w:r>
      <w:r w:rsidR="0034496D" w:rsidRPr="003C4490">
        <w:rPr>
          <w:lang w:val="hr-HR"/>
        </w:rPr>
        <w:t>BDP-a u 20</w:t>
      </w:r>
      <w:r w:rsidR="00B9094E" w:rsidRPr="003C4490">
        <w:rPr>
          <w:lang w:val="hr-HR"/>
        </w:rPr>
        <w:t>2</w:t>
      </w:r>
      <w:r w:rsidR="003C4490">
        <w:rPr>
          <w:lang w:val="hr-HR"/>
        </w:rPr>
        <w:t>2</w:t>
      </w:r>
      <w:r w:rsidR="0034496D" w:rsidRPr="003C4490">
        <w:rPr>
          <w:lang w:val="hr-HR"/>
        </w:rPr>
        <w:t xml:space="preserve">. te </w:t>
      </w:r>
      <w:r w:rsidR="003C4490">
        <w:rPr>
          <w:lang w:val="hr-HR"/>
        </w:rPr>
        <w:t>81</w:t>
      </w:r>
      <w:r w:rsidR="00663D69" w:rsidRPr="003C4490">
        <w:rPr>
          <w:lang w:val="hr-HR"/>
        </w:rPr>
        <w:t>,</w:t>
      </w:r>
      <w:r w:rsidR="003C4490">
        <w:rPr>
          <w:lang w:val="hr-HR"/>
        </w:rPr>
        <w:t>2</w:t>
      </w:r>
      <w:r w:rsidR="00663D69" w:rsidRPr="003C4490">
        <w:rPr>
          <w:lang w:val="hr-HR"/>
        </w:rPr>
        <w:t>%</w:t>
      </w:r>
      <w:r w:rsidR="00A618FA" w:rsidRPr="003C4490">
        <w:rPr>
          <w:lang w:val="hr-HR"/>
        </w:rPr>
        <w:t xml:space="preserve"> </w:t>
      </w:r>
      <w:r w:rsidR="0034496D" w:rsidRPr="003C4490">
        <w:rPr>
          <w:lang w:val="hr-HR"/>
        </w:rPr>
        <w:t>BDP-a u 202</w:t>
      </w:r>
      <w:r w:rsidR="003C4490">
        <w:rPr>
          <w:lang w:val="hr-HR"/>
        </w:rPr>
        <w:t>3</w:t>
      </w:r>
      <w:r w:rsidR="0034496D" w:rsidRPr="003C4490">
        <w:rPr>
          <w:lang w:val="hr-HR"/>
        </w:rPr>
        <w:t>. godini.</w:t>
      </w:r>
      <w:r w:rsidR="0034496D" w:rsidRPr="00B35390">
        <w:rPr>
          <w:lang w:val="hr-HR"/>
        </w:rPr>
        <w:t xml:space="preserve"> </w:t>
      </w:r>
    </w:p>
    <w:p w:rsidR="0034496D" w:rsidRPr="00F70B2A" w:rsidRDefault="0034496D" w:rsidP="0034496D">
      <w:pPr>
        <w:spacing w:after="120"/>
        <w:jc w:val="both"/>
        <w:rPr>
          <w:i/>
          <w:lang w:val="hr-HR"/>
        </w:rPr>
      </w:pPr>
      <w:r w:rsidRPr="00B35390">
        <w:rPr>
          <w:i/>
          <w:lang w:val="hr-HR"/>
        </w:rPr>
        <w:t xml:space="preserve">Grafikon </w:t>
      </w:r>
      <w:r w:rsidRPr="00B35390">
        <w:rPr>
          <w:i/>
          <w:lang w:val="hr-HR"/>
        </w:rPr>
        <w:fldChar w:fldCharType="begin"/>
      </w:r>
      <w:r w:rsidRPr="00B35390">
        <w:rPr>
          <w:i/>
          <w:lang w:val="hr-HR"/>
        </w:rPr>
        <w:instrText xml:space="preserve"> SEQ Grafikon \* ARABIC </w:instrText>
      </w:r>
      <w:r w:rsidRPr="00B35390">
        <w:rPr>
          <w:i/>
          <w:lang w:val="hr-HR"/>
        </w:rPr>
        <w:fldChar w:fldCharType="separate"/>
      </w:r>
      <w:r w:rsidR="00B5313A">
        <w:rPr>
          <w:i/>
          <w:noProof/>
          <w:lang w:val="hr-HR"/>
        </w:rPr>
        <w:t>1</w:t>
      </w:r>
      <w:r w:rsidRPr="00B35390">
        <w:rPr>
          <w:i/>
          <w:lang w:val="hr-HR"/>
        </w:rPr>
        <w:fldChar w:fldCharType="end"/>
      </w:r>
      <w:r w:rsidRPr="00B35390">
        <w:rPr>
          <w:i/>
          <w:lang w:val="hr-HR"/>
        </w:rPr>
        <w:t>: Javni dug u razdoblju 201</w:t>
      </w:r>
      <w:r w:rsidR="00663D69" w:rsidRPr="00B35390">
        <w:rPr>
          <w:i/>
          <w:lang w:val="hr-HR"/>
        </w:rPr>
        <w:t>5</w:t>
      </w:r>
      <w:r w:rsidRPr="00B35390">
        <w:rPr>
          <w:i/>
          <w:lang w:val="hr-HR"/>
        </w:rPr>
        <w:t>. – 202</w:t>
      </w:r>
      <w:r w:rsidR="003C4490">
        <w:rPr>
          <w:i/>
          <w:lang w:val="hr-HR"/>
        </w:rPr>
        <w:t>3</w:t>
      </w:r>
      <w:r w:rsidRPr="00B35390">
        <w:rPr>
          <w:i/>
          <w:lang w:val="hr-HR"/>
        </w:rPr>
        <w:t>.</w:t>
      </w:r>
    </w:p>
    <w:p w:rsidR="0034496D" w:rsidRPr="00F70B2A" w:rsidRDefault="003C4490" w:rsidP="004A1742">
      <w:pPr>
        <w:spacing w:after="0"/>
        <w:jc w:val="both"/>
        <w:rPr>
          <w:highlight w:val="yellow"/>
          <w:lang w:val="hr-HR"/>
        </w:rPr>
      </w:pPr>
      <w:r>
        <w:rPr>
          <w:noProof/>
          <w:highlight w:val="yellow"/>
          <w:lang w:val="hr-HR" w:eastAsia="hr-HR"/>
        </w:rPr>
        <w:drawing>
          <wp:inline distT="0" distB="0" distL="0" distR="0" wp14:anchorId="269B230F">
            <wp:extent cx="5666493" cy="2799961"/>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69922" cy="2801655"/>
                    </a:xfrm>
                    <a:prstGeom prst="rect">
                      <a:avLst/>
                    </a:prstGeom>
                    <a:noFill/>
                  </pic:spPr>
                </pic:pic>
              </a:graphicData>
            </a:graphic>
          </wp:inline>
        </w:drawing>
      </w:r>
    </w:p>
    <w:p w:rsidR="0034496D" w:rsidRPr="00F70B2A" w:rsidRDefault="0034496D" w:rsidP="0034496D">
      <w:pPr>
        <w:spacing w:after="120"/>
        <w:rPr>
          <w:rFonts w:ascii="Calibri" w:hAnsi="Calibri"/>
          <w:i/>
          <w:sz w:val="20"/>
          <w:szCs w:val="20"/>
          <w:lang w:val="hr-HR"/>
        </w:rPr>
      </w:pPr>
      <w:r w:rsidRPr="00F70B2A">
        <w:rPr>
          <w:rFonts w:ascii="Calibri" w:hAnsi="Calibri"/>
          <w:i/>
          <w:sz w:val="20"/>
          <w:szCs w:val="20"/>
          <w:lang w:val="hr-HR"/>
        </w:rPr>
        <w:t>Izvor: DZS, HNB, Ministarstvo financija</w:t>
      </w:r>
    </w:p>
    <w:p w:rsidR="0041034D" w:rsidRDefault="0041034D" w:rsidP="0034496D">
      <w:pPr>
        <w:spacing w:after="120"/>
        <w:rPr>
          <w:rFonts w:ascii="Calibri" w:hAnsi="Calibri"/>
          <w:i/>
          <w:sz w:val="20"/>
          <w:szCs w:val="20"/>
          <w:lang w:val="hr-HR"/>
        </w:rPr>
      </w:pPr>
    </w:p>
    <w:p w:rsidR="0041034D" w:rsidRPr="0041034D" w:rsidRDefault="0041034D" w:rsidP="0041034D">
      <w:pPr>
        <w:jc w:val="both"/>
        <w:rPr>
          <w:lang w:val="hr-HR"/>
        </w:rPr>
      </w:pPr>
      <w:r w:rsidRPr="0041034D">
        <w:rPr>
          <w:lang w:val="hr-HR"/>
        </w:rPr>
        <w:t>Uslijed snažnog gospodarskog pada na razini čitave EU uzrokovanog pandemijom koronavirusa, Vijeće EU je u ožujku 2020. odobrilo punu fleksibilnost Pakta o stabilnosti i rastu, odnosno primjenu opće klauzule o odstupanju (general escape clause) od proračunskih pravila definiranih Paktom o stabilnosti i rastu. Time je državama članicama dana mogućnost da u većoj mjeri pruže fiskalne poticaje svojim gospodarstvima kako bi se ublažili postojeći negativni utjecaji i osigurao što skoriji oporavak. Na nacionalnoj razini, Zakon o fiskalnoj odgovornosti također omogućuje privremeno odgađanje primjene fiskalnih pravila u slučaju izvanrednih okolnosti pod uvjetom da se time ne ugrožava fiskalna održivost u srednjem roku, sukladno pravilima Europske unije. U skladu s preporukom Povjerenstva od 30. ožujka 2020. godine, Vlada  RH je 3. travnja 2020. donijela Odluku o privremenom odgađanju primjene fiskalnih pravila iz članaka 6., 7. i 8. Zakona o fiskalnoj odgovornosti.</w:t>
      </w:r>
    </w:p>
    <w:p w:rsidR="0041034D" w:rsidRPr="0041034D" w:rsidRDefault="0041034D" w:rsidP="0041034D">
      <w:pPr>
        <w:jc w:val="both"/>
        <w:rPr>
          <w:lang w:val="hr-HR"/>
        </w:rPr>
      </w:pPr>
      <w:r w:rsidRPr="0041034D">
        <w:rPr>
          <w:lang w:val="hr-HR"/>
        </w:rPr>
        <w:t>Potom je, u Specifičnim preporukama  iz srpnja 2020. upućenim RH, preporučeno poduzimanje svih potrebnih mjera kako bi se učinkovito odgovorilo na pandemiju, održalo gospodarstvo i pružila potpora oporavku, a kada to gospodarski uvjeti dopuste, potrebno je provoditi fiskalne politike s ciljem postizanja razboritih srednjoročnih fiskalnih pozicija i osiguravanja održivosti duga uz istodobno poticanje ulaganja. Nadalje, 19. rujna 2020. EK je državama članicama uputila pismo  s uputama za provođenje fiskalne politike u 2021. godini. U navedenom pismu EK je potvrdila da će i u 2021. godini na snazi ostati klauzula o odstupanju od proračunskih pravila. Države članice trebale bi u kontekstu aktivacije opće klauzule tijekom 2021. nastaviti pružati ciljanu i privremenu fiskalnu potporu, vodeći računa o očuvanju srednjoročne fiskalne održivosti.</w:t>
      </w:r>
    </w:p>
    <w:p w:rsidR="004A1742" w:rsidRPr="0041034D" w:rsidRDefault="0041034D" w:rsidP="0041034D">
      <w:pPr>
        <w:jc w:val="both"/>
        <w:rPr>
          <w:lang w:val="hr-HR"/>
        </w:rPr>
      </w:pPr>
      <w:r w:rsidRPr="0041034D">
        <w:rPr>
          <w:lang w:val="hr-HR"/>
        </w:rPr>
        <w:t>Nakon snažnog povećanja duga i manjka proračuna opće države u 2020. godini, već u sljedećoj godini očekuje se smanjenje manjka ispod razine od 3% BDP-a te će se on postupno smanjivati do kraja projekcijskog razdoblja da bi u 2023. godini iznosio 1,6% BDP-a. Istovremeno, dug opće države bi se trebao smanjiti s razine od 87,3% BDP-a u 2020. na 81,2% BDP-a u 2023., odnosno za 6,0 postotnih bodova u trogodišnjem razdoblju, čime će već od 2021. godine pravilo duga biti ispunjeno, a ujedno se osigurava i fiskalna održivost u srednjem roku.</w:t>
      </w:r>
    </w:p>
    <w:sectPr w:rsidR="004A1742" w:rsidRPr="004103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111" w:rsidRDefault="00453111" w:rsidP="007E7900">
      <w:pPr>
        <w:spacing w:after="0" w:line="240" w:lineRule="auto"/>
      </w:pPr>
      <w:r>
        <w:separator/>
      </w:r>
    </w:p>
  </w:endnote>
  <w:endnote w:type="continuationSeparator" w:id="0">
    <w:p w:rsidR="00453111" w:rsidRDefault="00453111" w:rsidP="007E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70035"/>
      <w:docPartObj>
        <w:docPartGallery w:val="Page Numbers (Bottom of Page)"/>
        <w:docPartUnique/>
      </w:docPartObj>
    </w:sdtPr>
    <w:sdtEndPr>
      <w:rPr>
        <w:noProof/>
        <w:sz w:val="20"/>
        <w:szCs w:val="20"/>
      </w:rPr>
    </w:sdtEndPr>
    <w:sdtContent>
      <w:p w:rsidR="00005670" w:rsidRPr="00927736" w:rsidRDefault="00005670">
        <w:pPr>
          <w:pStyle w:val="Footer"/>
          <w:jc w:val="right"/>
          <w:rPr>
            <w:sz w:val="20"/>
            <w:szCs w:val="20"/>
          </w:rPr>
        </w:pPr>
        <w:r w:rsidRPr="00927736">
          <w:rPr>
            <w:sz w:val="20"/>
            <w:szCs w:val="20"/>
          </w:rPr>
          <w:fldChar w:fldCharType="begin"/>
        </w:r>
        <w:r w:rsidRPr="00927736">
          <w:rPr>
            <w:sz w:val="20"/>
            <w:szCs w:val="20"/>
          </w:rPr>
          <w:instrText xml:space="preserve"> PAGE   \* MERGEFORMAT </w:instrText>
        </w:r>
        <w:r w:rsidRPr="00927736">
          <w:rPr>
            <w:sz w:val="20"/>
            <w:szCs w:val="20"/>
          </w:rPr>
          <w:fldChar w:fldCharType="separate"/>
        </w:r>
        <w:r w:rsidR="00B5313A">
          <w:rPr>
            <w:noProof/>
            <w:sz w:val="20"/>
            <w:szCs w:val="20"/>
          </w:rPr>
          <w:t>2</w:t>
        </w:r>
        <w:r w:rsidRPr="00927736">
          <w:rPr>
            <w:noProof/>
            <w:sz w:val="20"/>
            <w:szCs w:val="20"/>
          </w:rPr>
          <w:fldChar w:fldCharType="end"/>
        </w:r>
      </w:p>
    </w:sdtContent>
  </w:sdt>
  <w:p w:rsidR="00005670" w:rsidRDefault="00005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111" w:rsidRDefault="00453111" w:rsidP="007E7900">
      <w:pPr>
        <w:spacing w:after="0" w:line="240" w:lineRule="auto"/>
      </w:pPr>
      <w:r>
        <w:separator/>
      </w:r>
    </w:p>
  </w:footnote>
  <w:footnote w:type="continuationSeparator" w:id="0">
    <w:p w:rsidR="00453111" w:rsidRDefault="00453111" w:rsidP="007E7900">
      <w:pPr>
        <w:spacing w:after="0" w:line="240" w:lineRule="auto"/>
      </w:pPr>
      <w:r>
        <w:continuationSeparator/>
      </w:r>
    </w:p>
  </w:footnote>
  <w:footnote w:id="1">
    <w:p w:rsidR="00F048AB" w:rsidRPr="00DF1809" w:rsidRDefault="00F048AB" w:rsidP="00F048AB">
      <w:pPr>
        <w:pStyle w:val="FootnoteText"/>
        <w:rPr>
          <w:sz w:val="18"/>
          <w:szCs w:val="18"/>
          <w:lang w:val="en-US"/>
        </w:rPr>
      </w:pPr>
      <w:r w:rsidRPr="00DF1809">
        <w:rPr>
          <w:rStyle w:val="FootnoteReference"/>
          <w:sz w:val="18"/>
          <w:szCs w:val="18"/>
          <w:lang w:val="en-US"/>
        </w:rPr>
        <w:footnoteRef/>
      </w:r>
      <w:r w:rsidRPr="00DF1809">
        <w:rPr>
          <w:rStyle w:val="FootnoteReference"/>
          <w:sz w:val="18"/>
          <w:szCs w:val="18"/>
          <w:lang w:val="en-US"/>
        </w:rPr>
        <w:t xml:space="preserve"> </w:t>
      </w:r>
      <w:r w:rsidRPr="00DF1809">
        <w:rPr>
          <w:sz w:val="18"/>
          <w:szCs w:val="18"/>
          <w:lang w:val="en-US"/>
        </w:rPr>
        <w:t xml:space="preserve">Eurosystem staff macroeconomic projections for the euro area, </w:t>
      </w:r>
      <w:r>
        <w:rPr>
          <w:sz w:val="18"/>
          <w:szCs w:val="18"/>
          <w:lang w:val="en-US"/>
        </w:rPr>
        <w:t>rujan</w:t>
      </w:r>
      <w:r w:rsidRPr="00DF1809">
        <w:rPr>
          <w:sz w:val="18"/>
          <w:szCs w:val="18"/>
          <w:lang w:val="en-US"/>
        </w:rPr>
        <w:t xml:space="preserve"> 20</w:t>
      </w:r>
      <w:r>
        <w:rPr>
          <w:sz w:val="18"/>
          <w:szCs w:val="18"/>
          <w:lang w:val="en-US"/>
        </w:rPr>
        <w:t>20</w:t>
      </w:r>
      <w:r w:rsidRPr="00DF1809">
        <w:rPr>
          <w:sz w:val="18"/>
          <w:szCs w:val="18"/>
          <w:lang w:val="en-US"/>
        </w:rPr>
        <w:t xml:space="preserve">. </w:t>
      </w:r>
    </w:p>
  </w:footnote>
  <w:footnote w:id="2">
    <w:p w:rsidR="00F048AB" w:rsidRPr="00DF1809" w:rsidRDefault="00F048AB" w:rsidP="00F048AB">
      <w:pPr>
        <w:pStyle w:val="FootnoteText"/>
        <w:rPr>
          <w:sz w:val="18"/>
          <w:szCs w:val="18"/>
          <w:lang w:val="en-US"/>
        </w:rPr>
      </w:pPr>
      <w:r w:rsidRPr="00DF1809">
        <w:rPr>
          <w:rStyle w:val="FootnoteReference"/>
          <w:sz w:val="18"/>
          <w:szCs w:val="18"/>
          <w:lang w:val="en-US"/>
        </w:rPr>
        <w:footnoteRef/>
      </w:r>
      <w:r w:rsidRPr="00DF1809">
        <w:rPr>
          <w:sz w:val="18"/>
          <w:szCs w:val="18"/>
          <w:lang w:val="en-US"/>
        </w:rPr>
        <w:t xml:space="preserve"> European Economic Forecast, Summer 20</w:t>
      </w:r>
      <w:r>
        <w:rPr>
          <w:sz w:val="18"/>
          <w:szCs w:val="18"/>
          <w:lang w:val="en-US"/>
        </w:rPr>
        <w:t>20</w:t>
      </w:r>
      <w:r w:rsidRPr="00DF1809">
        <w:rPr>
          <w:sz w:val="18"/>
          <w:szCs w:val="18"/>
          <w:lang w:val="en-US"/>
        </w:rPr>
        <w:t xml:space="preserve"> (Interim), srpanj 20</w:t>
      </w:r>
      <w:r>
        <w:rPr>
          <w:sz w:val="18"/>
          <w:szCs w:val="18"/>
          <w:lang w:val="en-US"/>
        </w:rPr>
        <w:t>20</w:t>
      </w:r>
      <w:r w:rsidRPr="00DF1809">
        <w:rPr>
          <w:sz w:val="18"/>
          <w:szCs w:val="18"/>
          <w:lang w:val="en-US"/>
        </w:rPr>
        <w:t xml:space="preserve">. </w:t>
      </w:r>
    </w:p>
  </w:footnote>
  <w:footnote w:id="3">
    <w:p w:rsidR="00F048AB" w:rsidRPr="00DF1809" w:rsidRDefault="00F048AB" w:rsidP="00F048AB">
      <w:pPr>
        <w:pStyle w:val="FootnoteText"/>
        <w:rPr>
          <w:sz w:val="18"/>
          <w:szCs w:val="18"/>
          <w:lang w:val="en-US"/>
        </w:rPr>
      </w:pPr>
      <w:r w:rsidRPr="00DF1809">
        <w:rPr>
          <w:rStyle w:val="FootnoteReference"/>
          <w:sz w:val="18"/>
          <w:szCs w:val="18"/>
          <w:lang w:val="en-US"/>
        </w:rPr>
        <w:footnoteRef/>
      </w:r>
      <w:r w:rsidRPr="00DF1809">
        <w:rPr>
          <w:rStyle w:val="FootnoteReference"/>
          <w:sz w:val="18"/>
          <w:szCs w:val="18"/>
          <w:lang w:val="en-US"/>
        </w:rPr>
        <w:t xml:space="preserve"> </w:t>
      </w:r>
      <w:r w:rsidRPr="003A7C56">
        <w:rPr>
          <w:sz w:val="18"/>
          <w:szCs w:val="18"/>
          <w:lang w:val="en-US"/>
        </w:rPr>
        <w:t>Economist Intelligence Unit</w:t>
      </w:r>
      <w:r>
        <w:rPr>
          <w:sz w:val="18"/>
          <w:szCs w:val="18"/>
          <w:lang w:val="en-US"/>
        </w:rPr>
        <w:t>, Economic Forecast</w:t>
      </w:r>
      <w:r w:rsidRPr="00DF1809">
        <w:rPr>
          <w:sz w:val="18"/>
          <w:szCs w:val="18"/>
          <w:lang w:val="en-US"/>
        </w:rPr>
        <w:t xml:space="preserve">, </w:t>
      </w:r>
      <w:r>
        <w:rPr>
          <w:sz w:val="18"/>
          <w:szCs w:val="18"/>
          <w:lang w:val="en-US"/>
        </w:rPr>
        <w:t>rujan</w:t>
      </w:r>
      <w:r w:rsidRPr="00DF1809">
        <w:rPr>
          <w:sz w:val="18"/>
          <w:szCs w:val="18"/>
          <w:lang w:val="en-US"/>
        </w:rPr>
        <w:t xml:space="preserve"> 20</w:t>
      </w:r>
      <w:r>
        <w:rPr>
          <w:sz w:val="18"/>
          <w:szCs w:val="18"/>
          <w:lang w:val="en-US"/>
        </w:rPr>
        <w:t>20</w:t>
      </w:r>
      <w:r w:rsidRPr="00DF1809">
        <w:rPr>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2DE"/>
    <w:multiLevelType w:val="multilevel"/>
    <w:tmpl w:val="A4A845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E677D3"/>
    <w:multiLevelType w:val="hybridMultilevel"/>
    <w:tmpl w:val="4DAE89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990F61"/>
    <w:multiLevelType w:val="hybridMultilevel"/>
    <w:tmpl w:val="9334B9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B93B4E"/>
    <w:multiLevelType w:val="multilevel"/>
    <w:tmpl w:val="9F0E7832"/>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9282EAE"/>
    <w:multiLevelType w:val="hybridMultilevel"/>
    <w:tmpl w:val="7744F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8759DF"/>
    <w:multiLevelType w:val="hybridMultilevel"/>
    <w:tmpl w:val="4468C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B3AE5"/>
    <w:multiLevelType w:val="hybridMultilevel"/>
    <w:tmpl w:val="1256E414"/>
    <w:lvl w:ilvl="0" w:tplc="041A0019">
      <w:start w:val="1"/>
      <w:numFmt w:val="lowerLetter"/>
      <w:lvlText w:val="%1."/>
      <w:lvlJc w:val="left"/>
      <w:pPr>
        <w:ind w:left="720" w:hanging="360"/>
      </w:pPr>
      <w:rPr>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8A4F02"/>
    <w:multiLevelType w:val="multilevel"/>
    <w:tmpl w:val="0CDA6A2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E76567"/>
    <w:multiLevelType w:val="hybridMultilevel"/>
    <w:tmpl w:val="8E34CA02"/>
    <w:lvl w:ilvl="0" w:tplc="D5FCB39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82162"/>
    <w:multiLevelType w:val="multilevel"/>
    <w:tmpl w:val="D5F472EA"/>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289111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5F847B1"/>
    <w:multiLevelType w:val="hybridMultilevel"/>
    <w:tmpl w:val="0FF6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C615E"/>
    <w:multiLevelType w:val="hybridMultilevel"/>
    <w:tmpl w:val="1D3A94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66454F7"/>
    <w:multiLevelType w:val="hybridMultilevel"/>
    <w:tmpl w:val="7FB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63371"/>
    <w:multiLevelType w:val="multilevel"/>
    <w:tmpl w:val="0CDA6A26"/>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D826C4A"/>
    <w:multiLevelType w:val="hybridMultilevel"/>
    <w:tmpl w:val="BBC617B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751D23DE"/>
    <w:multiLevelType w:val="multilevel"/>
    <w:tmpl w:val="C2C6C18C"/>
    <w:lvl w:ilvl="0">
      <w:start w:val="1"/>
      <w:numFmt w:val="decimal"/>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79003C21"/>
    <w:multiLevelType w:val="multilevel"/>
    <w:tmpl w:val="B9E64E1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A4A346C"/>
    <w:multiLevelType w:val="hybridMultilevel"/>
    <w:tmpl w:val="C716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82F60"/>
    <w:multiLevelType w:val="hybridMultilevel"/>
    <w:tmpl w:val="44F6E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CB27D00"/>
    <w:multiLevelType w:val="multilevel"/>
    <w:tmpl w:val="5C46834A"/>
    <w:lvl w:ilvl="0">
      <w:start w:val="5"/>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4"/>
  </w:num>
  <w:num w:numId="2">
    <w:abstractNumId w:val="17"/>
  </w:num>
  <w:num w:numId="3">
    <w:abstractNumId w:val="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1"/>
  </w:num>
  <w:num w:numId="7">
    <w:abstractNumId w:val="8"/>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3"/>
  </w:num>
  <w:num w:numId="11">
    <w:abstractNumId w:val="5"/>
  </w:num>
  <w:num w:numId="12">
    <w:abstractNumId w:val="18"/>
  </w:num>
  <w:num w:numId="13">
    <w:abstractNumId w:val="10"/>
  </w:num>
  <w:num w:numId="14">
    <w:abstractNumId w:val="2"/>
  </w:num>
  <w:num w:numId="15">
    <w:abstractNumId w:val="0"/>
  </w:num>
  <w:num w:numId="16">
    <w:abstractNumId w:val="14"/>
  </w:num>
  <w:num w:numId="17">
    <w:abstractNumId w:val="7"/>
  </w:num>
  <w:num w:numId="18">
    <w:abstractNumId w:val="1"/>
  </w:num>
  <w:num w:numId="19">
    <w:abstractNumId w:val="13"/>
  </w:num>
  <w:num w:numId="20">
    <w:abstractNumId w:val="15"/>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21"/>
    <w:rsid w:val="00001797"/>
    <w:rsid w:val="000041F9"/>
    <w:rsid w:val="00005670"/>
    <w:rsid w:val="00007108"/>
    <w:rsid w:val="00010B99"/>
    <w:rsid w:val="000146B7"/>
    <w:rsid w:val="00020250"/>
    <w:rsid w:val="00023F21"/>
    <w:rsid w:val="00025DEB"/>
    <w:rsid w:val="000324BA"/>
    <w:rsid w:val="00032F6C"/>
    <w:rsid w:val="00033315"/>
    <w:rsid w:val="00033D9E"/>
    <w:rsid w:val="00035036"/>
    <w:rsid w:val="0004017D"/>
    <w:rsid w:val="000445B7"/>
    <w:rsid w:val="0004782B"/>
    <w:rsid w:val="00055948"/>
    <w:rsid w:val="00057575"/>
    <w:rsid w:val="00060EE2"/>
    <w:rsid w:val="000618B5"/>
    <w:rsid w:val="00072B87"/>
    <w:rsid w:val="000738DE"/>
    <w:rsid w:val="00080B42"/>
    <w:rsid w:val="000821C5"/>
    <w:rsid w:val="000857E3"/>
    <w:rsid w:val="00086C72"/>
    <w:rsid w:val="00095377"/>
    <w:rsid w:val="000979A6"/>
    <w:rsid w:val="000A3D36"/>
    <w:rsid w:val="000A418E"/>
    <w:rsid w:val="000A5722"/>
    <w:rsid w:val="000B1E98"/>
    <w:rsid w:val="000B2784"/>
    <w:rsid w:val="000B67B5"/>
    <w:rsid w:val="000D27C1"/>
    <w:rsid w:val="000D3692"/>
    <w:rsid w:val="000D50A8"/>
    <w:rsid w:val="000E2E51"/>
    <w:rsid w:val="000E5C14"/>
    <w:rsid w:val="000E73C3"/>
    <w:rsid w:val="000F3D4F"/>
    <w:rsid w:val="000F6871"/>
    <w:rsid w:val="000F7890"/>
    <w:rsid w:val="00100006"/>
    <w:rsid w:val="0010391E"/>
    <w:rsid w:val="00105DF3"/>
    <w:rsid w:val="00113CB3"/>
    <w:rsid w:val="001217A8"/>
    <w:rsid w:val="001241B8"/>
    <w:rsid w:val="00125FFF"/>
    <w:rsid w:val="00127676"/>
    <w:rsid w:val="001314C4"/>
    <w:rsid w:val="001331A6"/>
    <w:rsid w:val="00145C68"/>
    <w:rsid w:val="00145D0C"/>
    <w:rsid w:val="001470C9"/>
    <w:rsid w:val="001515B2"/>
    <w:rsid w:val="00153C78"/>
    <w:rsid w:val="00155FA2"/>
    <w:rsid w:val="00156F45"/>
    <w:rsid w:val="00161922"/>
    <w:rsid w:val="00162BCE"/>
    <w:rsid w:val="001675A4"/>
    <w:rsid w:val="00174F1F"/>
    <w:rsid w:val="0017582C"/>
    <w:rsid w:val="001806A2"/>
    <w:rsid w:val="00185784"/>
    <w:rsid w:val="00186684"/>
    <w:rsid w:val="00186D57"/>
    <w:rsid w:val="001909CF"/>
    <w:rsid w:val="00190F82"/>
    <w:rsid w:val="00191121"/>
    <w:rsid w:val="001943D2"/>
    <w:rsid w:val="001971CF"/>
    <w:rsid w:val="001A1C5C"/>
    <w:rsid w:val="001A595D"/>
    <w:rsid w:val="001A77A4"/>
    <w:rsid w:val="001B0D04"/>
    <w:rsid w:val="001B5E11"/>
    <w:rsid w:val="001C074C"/>
    <w:rsid w:val="001C244E"/>
    <w:rsid w:val="001C4ED7"/>
    <w:rsid w:val="001C63C2"/>
    <w:rsid w:val="001D0189"/>
    <w:rsid w:val="001D2009"/>
    <w:rsid w:val="001D4565"/>
    <w:rsid w:val="001D5C86"/>
    <w:rsid w:val="001E7956"/>
    <w:rsid w:val="001F1EBE"/>
    <w:rsid w:val="001F3879"/>
    <w:rsid w:val="001F3B06"/>
    <w:rsid w:val="001F4192"/>
    <w:rsid w:val="001F479B"/>
    <w:rsid w:val="001F744E"/>
    <w:rsid w:val="00205AC5"/>
    <w:rsid w:val="00213AAF"/>
    <w:rsid w:val="00217287"/>
    <w:rsid w:val="00217E6B"/>
    <w:rsid w:val="0022189C"/>
    <w:rsid w:val="00223C14"/>
    <w:rsid w:val="002253A4"/>
    <w:rsid w:val="00227EB9"/>
    <w:rsid w:val="002323A5"/>
    <w:rsid w:val="00235EF2"/>
    <w:rsid w:val="00240C30"/>
    <w:rsid w:val="00241723"/>
    <w:rsid w:val="002505F3"/>
    <w:rsid w:val="002517CB"/>
    <w:rsid w:val="00256EE8"/>
    <w:rsid w:val="002577F6"/>
    <w:rsid w:val="00263DC3"/>
    <w:rsid w:val="00263F53"/>
    <w:rsid w:val="0028075D"/>
    <w:rsid w:val="002838D9"/>
    <w:rsid w:val="00283E07"/>
    <w:rsid w:val="002868AC"/>
    <w:rsid w:val="0029489C"/>
    <w:rsid w:val="00295713"/>
    <w:rsid w:val="00296958"/>
    <w:rsid w:val="00296BC3"/>
    <w:rsid w:val="002A12E4"/>
    <w:rsid w:val="002A2EFA"/>
    <w:rsid w:val="002A4AF3"/>
    <w:rsid w:val="002A72F0"/>
    <w:rsid w:val="002B0FC8"/>
    <w:rsid w:val="002B2860"/>
    <w:rsid w:val="002B2F1A"/>
    <w:rsid w:val="002B4FEB"/>
    <w:rsid w:val="002C3027"/>
    <w:rsid w:val="002D2F82"/>
    <w:rsid w:val="002D673F"/>
    <w:rsid w:val="002D77A8"/>
    <w:rsid w:val="002E3DD9"/>
    <w:rsid w:val="002F4321"/>
    <w:rsid w:val="003047CE"/>
    <w:rsid w:val="003052F1"/>
    <w:rsid w:val="00306477"/>
    <w:rsid w:val="00306964"/>
    <w:rsid w:val="00307E3F"/>
    <w:rsid w:val="003144CB"/>
    <w:rsid w:val="00316215"/>
    <w:rsid w:val="00321961"/>
    <w:rsid w:val="003244E2"/>
    <w:rsid w:val="00325CA4"/>
    <w:rsid w:val="003272C9"/>
    <w:rsid w:val="00333255"/>
    <w:rsid w:val="0034496D"/>
    <w:rsid w:val="00350BC6"/>
    <w:rsid w:val="00351916"/>
    <w:rsid w:val="00355F14"/>
    <w:rsid w:val="0036088A"/>
    <w:rsid w:val="003626ED"/>
    <w:rsid w:val="00365C64"/>
    <w:rsid w:val="003750F6"/>
    <w:rsid w:val="0037517B"/>
    <w:rsid w:val="0037667D"/>
    <w:rsid w:val="00392828"/>
    <w:rsid w:val="0039786A"/>
    <w:rsid w:val="003A3AA0"/>
    <w:rsid w:val="003B1211"/>
    <w:rsid w:val="003B4EA0"/>
    <w:rsid w:val="003B7428"/>
    <w:rsid w:val="003B7D7B"/>
    <w:rsid w:val="003C4490"/>
    <w:rsid w:val="003C78F6"/>
    <w:rsid w:val="003C7F5A"/>
    <w:rsid w:val="003D6B72"/>
    <w:rsid w:val="003E0702"/>
    <w:rsid w:val="003E1965"/>
    <w:rsid w:val="003E398D"/>
    <w:rsid w:val="003E52BF"/>
    <w:rsid w:val="003F48B4"/>
    <w:rsid w:val="003F5895"/>
    <w:rsid w:val="0041034D"/>
    <w:rsid w:val="004104F8"/>
    <w:rsid w:val="00415704"/>
    <w:rsid w:val="00420F2E"/>
    <w:rsid w:val="00421F2A"/>
    <w:rsid w:val="00423C96"/>
    <w:rsid w:val="004247D0"/>
    <w:rsid w:val="00426220"/>
    <w:rsid w:val="004345FE"/>
    <w:rsid w:val="00436F2D"/>
    <w:rsid w:val="004430BD"/>
    <w:rsid w:val="004446C2"/>
    <w:rsid w:val="00453111"/>
    <w:rsid w:val="00456F59"/>
    <w:rsid w:val="004604FB"/>
    <w:rsid w:val="00461775"/>
    <w:rsid w:val="0046251A"/>
    <w:rsid w:val="00463C1F"/>
    <w:rsid w:val="00464AA7"/>
    <w:rsid w:val="004662A4"/>
    <w:rsid w:val="0046714A"/>
    <w:rsid w:val="00467E50"/>
    <w:rsid w:val="00473B4F"/>
    <w:rsid w:val="00475096"/>
    <w:rsid w:val="00483F6A"/>
    <w:rsid w:val="00491633"/>
    <w:rsid w:val="00491E72"/>
    <w:rsid w:val="00492EFE"/>
    <w:rsid w:val="004940AE"/>
    <w:rsid w:val="00497B53"/>
    <w:rsid w:val="004A0346"/>
    <w:rsid w:val="004A1742"/>
    <w:rsid w:val="004A5652"/>
    <w:rsid w:val="004A74FE"/>
    <w:rsid w:val="004B2E80"/>
    <w:rsid w:val="004B307D"/>
    <w:rsid w:val="004C0641"/>
    <w:rsid w:val="004C0CFF"/>
    <w:rsid w:val="004C14D4"/>
    <w:rsid w:val="004C15BC"/>
    <w:rsid w:val="004C7845"/>
    <w:rsid w:val="004D4824"/>
    <w:rsid w:val="004D6494"/>
    <w:rsid w:val="004E0BEF"/>
    <w:rsid w:val="004E2179"/>
    <w:rsid w:val="004E4030"/>
    <w:rsid w:val="004F4BD2"/>
    <w:rsid w:val="004F4EEE"/>
    <w:rsid w:val="0050234D"/>
    <w:rsid w:val="00503BC8"/>
    <w:rsid w:val="005062F8"/>
    <w:rsid w:val="00506C0E"/>
    <w:rsid w:val="0051136B"/>
    <w:rsid w:val="00511A03"/>
    <w:rsid w:val="00514BCC"/>
    <w:rsid w:val="00516520"/>
    <w:rsid w:val="00527791"/>
    <w:rsid w:val="00533F79"/>
    <w:rsid w:val="005353E3"/>
    <w:rsid w:val="005375F4"/>
    <w:rsid w:val="0053782E"/>
    <w:rsid w:val="0054237C"/>
    <w:rsid w:val="00554A96"/>
    <w:rsid w:val="005704FB"/>
    <w:rsid w:val="00570A93"/>
    <w:rsid w:val="00572F2A"/>
    <w:rsid w:val="005803D3"/>
    <w:rsid w:val="00582827"/>
    <w:rsid w:val="0058494D"/>
    <w:rsid w:val="00591803"/>
    <w:rsid w:val="005931F9"/>
    <w:rsid w:val="005973BB"/>
    <w:rsid w:val="00597DE2"/>
    <w:rsid w:val="005A20A6"/>
    <w:rsid w:val="005A3522"/>
    <w:rsid w:val="005A5EA7"/>
    <w:rsid w:val="005B307D"/>
    <w:rsid w:val="005B6209"/>
    <w:rsid w:val="005C0F44"/>
    <w:rsid w:val="005C3813"/>
    <w:rsid w:val="005D1929"/>
    <w:rsid w:val="005D267C"/>
    <w:rsid w:val="005D68AA"/>
    <w:rsid w:val="005D77E8"/>
    <w:rsid w:val="005E5519"/>
    <w:rsid w:val="006000C7"/>
    <w:rsid w:val="0060160F"/>
    <w:rsid w:val="006070D6"/>
    <w:rsid w:val="00607EA1"/>
    <w:rsid w:val="00621186"/>
    <w:rsid w:val="00627110"/>
    <w:rsid w:val="006342F7"/>
    <w:rsid w:val="00642901"/>
    <w:rsid w:val="00642DCD"/>
    <w:rsid w:val="006465A2"/>
    <w:rsid w:val="00655AD4"/>
    <w:rsid w:val="00656368"/>
    <w:rsid w:val="00657072"/>
    <w:rsid w:val="00661178"/>
    <w:rsid w:val="006626F8"/>
    <w:rsid w:val="00662B50"/>
    <w:rsid w:val="00663D69"/>
    <w:rsid w:val="00663FB6"/>
    <w:rsid w:val="00664729"/>
    <w:rsid w:val="00670082"/>
    <w:rsid w:val="006730D1"/>
    <w:rsid w:val="00673CCE"/>
    <w:rsid w:val="00675955"/>
    <w:rsid w:val="00676DEE"/>
    <w:rsid w:val="00677FAF"/>
    <w:rsid w:val="00680042"/>
    <w:rsid w:val="00695821"/>
    <w:rsid w:val="006A24E7"/>
    <w:rsid w:val="006A37BE"/>
    <w:rsid w:val="006A3AB7"/>
    <w:rsid w:val="006A5CEF"/>
    <w:rsid w:val="006B3A5F"/>
    <w:rsid w:val="006C1D10"/>
    <w:rsid w:val="006C2AD7"/>
    <w:rsid w:val="006C3F62"/>
    <w:rsid w:val="006C4EB5"/>
    <w:rsid w:val="006C6F8C"/>
    <w:rsid w:val="006D060B"/>
    <w:rsid w:val="006D1634"/>
    <w:rsid w:val="006D17FA"/>
    <w:rsid w:val="006E649F"/>
    <w:rsid w:val="006F296F"/>
    <w:rsid w:val="006F3A28"/>
    <w:rsid w:val="006F55F3"/>
    <w:rsid w:val="006F5837"/>
    <w:rsid w:val="006F6873"/>
    <w:rsid w:val="00702218"/>
    <w:rsid w:val="00704634"/>
    <w:rsid w:val="00705F5F"/>
    <w:rsid w:val="00706027"/>
    <w:rsid w:val="00712A6E"/>
    <w:rsid w:val="0071764A"/>
    <w:rsid w:val="00720D44"/>
    <w:rsid w:val="00722FD0"/>
    <w:rsid w:val="00725EFC"/>
    <w:rsid w:val="00727048"/>
    <w:rsid w:val="007337A0"/>
    <w:rsid w:val="00735E85"/>
    <w:rsid w:val="0074524D"/>
    <w:rsid w:val="00745C27"/>
    <w:rsid w:val="00747F9D"/>
    <w:rsid w:val="007507B8"/>
    <w:rsid w:val="00763999"/>
    <w:rsid w:val="0076453D"/>
    <w:rsid w:val="00766FDC"/>
    <w:rsid w:val="00767EB5"/>
    <w:rsid w:val="00773754"/>
    <w:rsid w:val="00775CFB"/>
    <w:rsid w:val="00787E2C"/>
    <w:rsid w:val="00792B4A"/>
    <w:rsid w:val="00795733"/>
    <w:rsid w:val="007A2F8F"/>
    <w:rsid w:val="007A364C"/>
    <w:rsid w:val="007A7AC2"/>
    <w:rsid w:val="007B175F"/>
    <w:rsid w:val="007B57C6"/>
    <w:rsid w:val="007B7DD4"/>
    <w:rsid w:val="007C0F11"/>
    <w:rsid w:val="007C3CA9"/>
    <w:rsid w:val="007C5C31"/>
    <w:rsid w:val="007C6AE0"/>
    <w:rsid w:val="007D06F5"/>
    <w:rsid w:val="007D0BF8"/>
    <w:rsid w:val="007D7A1E"/>
    <w:rsid w:val="007E0034"/>
    <w:rsid w:val="007E4D7B"/>
    <w:rsid w:val="007E4ED4"/>
    <w:rsid w:val="007E7900"/>
    <w:rsid w:val="007E7CF4"/>
    <w:rsid w:val="007F332C"/>
    <w:rsid w:val="007F5D03"/>
    <w:rsid w:val="00802DC9"/>
    <w:rsid w:val="00804AE5"/>
    <w:rsid w:val="008106FE"/>
    <w:rsid w:val="00814A34"/>
    <w:rsid w:val="00815360"/>
    <w:rsid w:val="0082741A"/>
    <w:rsid w:val="008279B3"/>
    <w:rsid w:val="00827DAE"/>
    <w:rsid w:val="00827FD5"/>
    <w:rsid w:val="00832BCD"/>
    <w:rsid w:val="00844866"/>
    <w:rsid w:val="00850685"/>
    <w:rsid w:val="0085173D"/>
    <w:rsid w:val="008536D4"/>
    <w:rsid w:val="00860093"/>
    <w:rsid w:val="0087014B"/>
    <w:rsid w:val="00870D4F"/>
    <w:rsid w:val="00875F18"/>
    <w:rsid w:val="008858CD"/>
    <w:rsid w:val="0089450C"/>
    <w:rsid w:val="00896FF0"/>
    <w:rsid w:val="008A38AC"/>
    <w:rsid w:val="008A3AFC"/>
    <w:rsid w:val="008A5BF8"/>
    <w:rsid w:val="008B2AD0"/>
    <w:rsid w:val="008B60D2"/>
    <w:rsid w:val="008C1447"/>
    <w:rsid w:val="008C41C8"/>
    <w:rsid w:val="008C454C"/>
    <w:rsid w:val="008C4672"/>
    <w:rsid w:val="008E0275"/>
    <w:rsid w:val="008E51EB"/>
    <w:rsid w:val="008F3FC3"/>
    <w:rsid w:val="00903C01"/>
    <w:rsid w:val="00904773"/>
    <w:rsid w:val="0090728A"/>
    <w:rsid w:val="00910DFE"/>
    <w:rsid w:val="0091736E"/>
    <w:rsid w:val="0092126E"/>
    <w:rsid w:val="00924747"/>
    <w:rsid w:val="00926FAA"/>
    <w:rsid w:val="00927736"/>
    <w:rsid w:val="009301F8"/>
    <w:rsid w:val="00933AA1"/>
    <w:rsid w:val="0093452D"/>
    <w:rsid w:val="00934B66"/>
    <w:rsid w:val="00934D4D"/>
    <w:rsid w:val="00936C84"/>
    <w:rsid w:val="00937528"/>
    <w:rsid w:val="00937BB3"/>
    <w:rsid w:val="00942D33"/>
    <w:rsid w:val="00943562"/>
    <w:rsid w:val="009439B2"/>
    <w:rsid w:val="0094437D"/>
    <w:rsid w:val="00945A9C"/>
    <w:rsid w:val="00947B0E"/>
    <w:rsid w:val="009500A2"/>
    <w:rsid w:val="00954027"/>
    <w:rsid w:val="009563CD"/>
    <w:rsid w:val="00956C2E"/>
    <w:rsid w:val="009609F4"/>
    <w:rsid w:val="00960F86"/>
    <w:rsid w:val="00973B23"/>
    <w:rsid w:val="00977ECA"/>
    <w:rsid w:val="00980744"/>
    <w:rsid w:val="00984E44"/>
    <w:rsid w:val="00991929"/>
    <w:rsid w:val="00996D08"/>
    <w:rsid w:val="009A2729"/>
    <w:rsid w:val="009A3862"/>
    <w:rsid w:val="009A490C"/>
    <w:rsid w:val="009B6802"/>
    <w:rsid w:val="009C0CE9"/>
    <w:rsid w:val="009C54BD"/>
    <w:rsid w:val="009C5E29"/>
    <w:rsid w:val="009C753C"/>
    <w:rsid w:val="009D3EF9"/>
    <w:rsid w:val="009E31F9"/>
    <w:rsid w:val="009E4DB7"/>
    <w:rsid w:val="009F7B1B"/>
    <w:rsid w:val="00A01DAF"/>
    <w:rsid w:val="00A02087"/>
    <w:rsid w:val="00A055CB"/>
    <w:rsid w:val="00A061E8"/>
    <w:rsid w:val="00A071E2"/>
    <w:rsid w:val="00A101E4"/>
    <w:rsid w:val="00A10B3D"/>
    <w:rsid w:val="00A122E9"/>
    <w:rsid w:val="00A25BDD"/>
    <w:rsid w:val="00A31CDA"/>
    <w:rsid w:val="00A32203"/>
    <w:rsid w:val="00A3381B"/>
    <w:rsid w:val="00A33D06"/>
    <w:rsid w:val="00A363F4"/>
    <w:rsid w:val="00A42363"/>
    <w:rsid w:val="00A460F6"/>
    <w:rsid w:val="00A52889"/>
    <w:rsid w:val="00A5515B"/>
    <w:rsid w:val="00A554AD"/>
    <w:rsid w:val="00A56F40"/>
    <w:rsid w:val="00A57597"/>
    <w:rsid w:val="00A618FA"/>
    <w:rsid w:val="00A65DDC"/>
    <w:rsid w:val="00A70D26"/>
    <w:rsid w:val="00A7297B"/>
    <w:rsid w:val="00A729FD"/>
    <w:rsid w:val="00A81C09"/>
    <w:rsid w:val="00A825D0"/>
    <w:rsid w:val="00A82A30"/>
    <w:rsid w:val="00A831A9"/>
    <w:rsid w:val="00A87002"/>
    <w:rsid w:val="00AA2DA8"/>
    <w:rsid w:val="00AA59BB"/>
    <w:rsid w:val="00AA6062"/>
    <w:rsid w:val="00AA6B2D"/>
    <w:rsid w:val="00AB0A6A"/>
    <w:rsid w:val="00AB0E22"/>
    <w:rsid w:val="00AB5918"/>
    <w:rsid w:val="00AB7B0C"/>
    <w:rsid w:val="00AD04AC"/>
    <w:rsid w:val="00AD4B36"/>
    <w:rsid w:val="00AE7E2E"/>
    <w:rsid w:val="00AF062D"/>
    <w:rsid w:val="00B107A9"/>
    <w:rsid w:val="00B11AB8"/>
    <w:rsid w:val="00B13AFA"/>
    <w:rsid w:val="00B17512"/>
    <w:rsid w:val="00B20ADA"/>
    <w:rsid w:val="00B23699"/>
    <w:rsid w:val="00B24D50"/>
    <w:rsid w:val="00B331E6"/>
    <w:rsid w:val="00B35390"/>
    <w:rsid w:val="00B3639A"/>
    <w:rsid w:val="00B438A8"/>
    <w:rsid w:val="00B5313A"/>
    <w:rsid w:val="00B60323"/>
    <w:rsid w:val="00B60575"/>
    <w:rsid w:val="00B67A38"/>
    <w:rsid w:val="00B71F5D"/>
    <w:rsid w:val="00B76713"/>
    <w:rsid w:val="00B84292"/>
    <w:rsid w:val="00B8554E"/>
    <w:rsid w:val="00B85F1C"/>
    <w:rsid w:val="00B861CC"/>
    <w:rsid w:val="00B9094E"/>
    <w:rsid w:val="00B92FB1"/>
    <w:rsid w:val="00B95D57"/>
    <w:rsid w:val="00BA026E"/>
    <w:rsid w:val="00BA2D11"/>
    <w:rsid w:val="00BA380F"/>
    <w:rsid w:val="00BA4A10"/>
    <w:rsid w:val="00BA521C"/>
    <w:rsid w:val="00BA550E"/>
    <w:rsid w:val="00BB1630"/>
    <w:rsid w:val="00BB1B39"/>
    <w:rsid w:val="00BB1C6B"/>
    <w:rsid w:val="00BC27DE"/>
    <w:rsid w:val="00BC3B17"/>
    <w:rsid w:val="00BC4C46"/>
    <w:rsid w:val="00BD2CF7"/>
    <w:rsid w:val="00BD3399"/>
    <w:rsid w:val="00BD3F20"/>
    <w:rsid w:val="00BD4FC5"/>
    <w:rsid w:val="00BD554A"/>
    <w:rsid w:val="00BE094B"/>
    <w:rsid w:val="00BF15C5"/>
    <w:rsid w:val="00BF185E"/>
    <w:rsid w:val="00BF2FAD"/>
    <w:rsid w:val="00C03196"/>
    <w:rsid w:val="00C03AD9"/>
    <w:rsid w:val="00C057B7"/>
    <w:rsid w:val="00C167BD"/>
    <w:rsid w:val="00C22394"/>
    <w:rsid w:val="00C22D93"/>
    <w:rsid w:val="00C253F2"/>
    <w:rsid w:val="00C26DFB"/>
    <w:rsid w:val="00C27606"/>
    <w:rsid w:val="00C27A3C"/>
    <w:rsid w:val="00C31867"/>
    <w:rsid w:val="00C34BB3"/>
    <w:rsid w:val="00C422F0"/>
    <w:rsid w:val="00C43515"/>
    <w:rsid w:val="00C55597"/>
    <w:rsid w:val="00C6059C"/>
    <w:rsid w:val="00C60AD6"/>
    <w:rsid w:val="00C62408"/>
    <w:rsid w:val="00C62B21"/>
    <w:rsid w:val="00C63A59"/>
    <w:rsid w:val="00C64161"/>
    <w:rsid w:val="00C65206"/>
    <w:rsid w:val="00C72229"/>
    <w:rsid w:val="00C74CFB"/>
    <w:rsid w:val="00C77366"/>
    <w:rsid w:val="00C80B9F"/>
    <w:rsid w:val="00C8194C"/>
    <w:rsid w:val="00C83B8B"/>
    <w:rsid w:val="00C850A8"/>
    <w:rsid w:val="00C93283"/>
    <w:rsid w:val="00CA044B"/>
    <w:rsid w:val="00CA7456"/>
    <w:rsid w:val="00CB0E01"/>
    <w:rsid w:val="00CB135A"/>
    <w:rsid w:val="00CB627C"/>
    <w:rsid w:val="00CC3536"/>
    <w:rsid w:val="00CC3BB8"/>
    <w:rsid w:val="00CC5C79"/>
    <w:rsid w:val="00CD3DAF"/>
    <w:rsid w:val="00CD4802"/>
    <w:rsid w:val="00CD7BA1"/>
    <w:rsid w:val="00CE101E"/>
    <w:rsid w:val="00CE39D3"/>
    <w:rsid w:val="00CE460A"/>
    <w:rsid w:val="00CE473C"/>
    <w:rsid w:val="00CE47C9"/>
    <w:rsid w:val="00CE7102"/>
    <w:rsid w:val="00CF0919"/>
    <w:rsid w:val="00CF31A3"/>
    <w:rsid w:val="00CF499C"/>
    <w:rsid w:val="00CF6DEB"/>
    <w:rsid w:val="00D01BA1"/>
    <w:rsid w:val="00D1736C"/>
    <w:rsid w:val="00D23004"/>
    <w:rsid w:val="00D27552"/>
    <w:rsid w:val="00D278F1"/>
    <w:rsid w:val="00D3397B"/>
    <w:rsid w:val="00D43123"/>
    <w:rsid w:val="00D44064"/>
    <w:rsid w:val="00D46426"/>
    <w:rsid w:val="00D466BA"/>
    <w:rsid w:val="00D50460"/>
    <w:rsid w:val="00D564EB"/>
    <w:rsid w:val="00D56C87"/>
    <w:rsid w:val="00D61087"/>
    <w:rsid w:val="00D64605"/>
    <w:rsid w:val="00D647CD"/>
    <w:rsid w:val="00D64D62"/>
    <w:rsid w:val="00D661FE"/>
    <w:rsid w:val="00D668A6"/>
    <w:rsid w:val="00D72B0A"/>
    <w:rsid w:val="00D75FB7"/>
    <w:rsid w:val="00D80132"/>
    <w:rsid w:val="00D827FE"/>
    <w:rsid w:val="00D9400A"/>
    <w:rsid w:val="00DA30C8"/>
    <w:rsid w:val="00DA3324"/>
    <w:rsid w:val="00DA5FAB"/>
    <w:rsid w:val="00DB05E0"/>
    <w:rsid w:val="00DB0827"/>
    <w:rsid w:val="00DC0710"/>
    <w:rsid w:val="00DC21E9"/>
    <w:rsid w:val="00DC514D"/>
    <w:rsid w:val="00DC70BA"/>
    <w:rsid w:val="00DD59A5"/>
    <w:rsid w:val="00DD59D1"/>
    <w:rsid w:val="00DE05DF"/>
    <w:rsid w:val="00DF07D3"/>
    <w:rsid w:val="00DF71B9"/>
    <w:rsid w:val="00DF75EC"/>
    <w:rsid w:val="00DF7C34"/>
    <w:rsid w:val="00DF7D2A"/>
    <w:rsid w:val="00E00A8A"/>
    <w:rsid w:val="00E060DD"/>
    <w:rsid w:val="00E06390"/>
    <w:rsid w:val="00E11D36"/>
    <w:rsid w:val="00E14613"/>
    <w:rsid w:val="00E151BD"/>
    <w:rsid w:val="00E22265"/>
    <w:rsid w:val="00E24D6D"/>
    <w:rsid w:val="00E26EC0"/>
    <w:rsid w:val="00E30E0F"/>
    <w:rsid w:val="00E44079"/>
    <w:rsid w:val="00E5160F"/>
    <w:rsid w:val="00E519B3"/>
    <w:rsid w:val="00E54152"/>
    <w:rsid w:val="00E6246C"/>
    <w:rsid w:val="00E65518"/>
    <w:rsid w:val="00E66D53"/>
    <w:rsid w:val="00E71D53"/>
    <w:rsid w:val="00E75075"/>
    <w:rsid w:val="00E823F5"/>
    <w:rsid w:val="00E84063"/>
    <w:rsid w:val="00E843E2"/>
    <w:rsid w:val="00E844E2"/>
    <w:rsid w:val="00E922AE"/>
    <w:rsid w:val="00E95575"/>
    <w:rsid w:val="00EA49B9"/>
    <w:rsid w:val="00EA546D"/>
    <w:rsid w:val="00EA5868"/>
    <w:rsid w:val="00EA7362"/>
    <w:rsid w:val="00EA7C55"/>
    <w:rsid w:val="00EB46D2"/>
    <w:rsid w:val="00EB6D5B"/>
    <w:rsid w:val="00EC16C9"/>
    <w:rsid w:val="00EC2DE1"/>
    <w:rsid w:val="00EC4EE9"/>
    <w:rsid w:val="00EC75FE"/>
    <w:rsid w:val="00ED33C4"/>
    <w:rsid w:val="00ED3BE2"/>
    <w:rsid w:val="00ED4A6C"/>
    <w:rsid w:val="00ED54FC"/>
    <w:rsid w:val="00EE4E69"/>
    <w:rsid w:val="00EE61B9"/>
    <w:rsid w:val="00EF4E64"/>
    <w:rsid w:val="00EF641B"/>
    <w:rsid w:val="00F015CC"/>
    <w:rsid w:val="00F022F8"/>
    <w:rsid w:val="00F038F2"/>
    <w:rsid w:val="00F03B6C"/>
    <w:rsid w:val="00F048AB"/>
    <w:rsid w:val="00F051D6"/>
    <w:rsid w:val="00F0596B"/>
    <w:rsid w:val="00F10F58"/>
    <w:rsid w:val="00F13202"/>
    <w:rsid w:val="00F13A6D"/>
    <w:rsid w:val="00F13D08"/>
    <w:rsid w:val="00F16145"/>
    <w:rsid w:val="00F162F2"/>
    <w:rsid w:val="00F2632C"/>
    <w:rsid w:val="00F34646"/>
    <w:rsid w:val="00F35F16"/>
    <w:rsid w:val="00F476F4"/>
    <w:rsid w:val="00F53A30"/>
    <w:rsid w:val="00F60595"/>
    <w:rsid w:val="00F61501"/>
    <w:rsid w:val="00F66A5D"/>
    <w:rsid w:val="00F70B2A"/>
    <w:rsid w:val="00F76F25"/>
    <w:rsid w:val="00F77610"/>
    <w:rsid w:val="00F9105A"/>
    <w:rsid w:val="00F9133A"/>
    <w:rsid w:val="00F949E5"/>
    <w:rsid w:val="00F97A9B"/>
    <w:rsid w:val="00FA15E4"/>
    <w:rsid w:val="00FA279A"/>
    <w:rsid w:val="00FA59A2"/>
    <w:rsid w:val="00FB06A4"/>
    <w:rsid w:val="00FB3975"/>
    <w:rsid w:val="00FB5422"/>
    <w:rsid w:val="00FC0142"/>
    <w:rsid w:val="00FC0EA7"/>
    <w:rsid w:val="00FC12AB"/>
    <w:rsid w:val="00FC3A7B"/>
    <w:rsid w:val="00FC5C72"/>
    <w:rsid w:val="00FD54C6"/>
    <w:rsid w:val="00FD72DB"/>
    <w:rsid w:val="00FE3E0D"/>
    <w:rsid w:val="00FF2E42"/>
    <w:rsid w:val="00FF426B"/>
    <w:rsid w:val="00FF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548E"/>
  <w15:docId w15:val="{D49A26FB-2E63-4B13-9522-2B91ABDB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58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66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8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582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95821"/>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nhideWhenUsed/>
    <w:qFormat/>
    <w:rsid w:val="00695821"/>
    <w:pPr>
      <w:spacing w:line="240" w:lineRule="auto"/>
    </w:pPr>
    <w:rPr>
      <w:b/>
      <w:bCs/>
      <w:color w:val="4F81BD" w:themeColor="accent1"/>
      <w:sz w:val="18"/>
      <w:szCs w:val="18"/>
    </w:rPr>
  </w:style>
  <w:style w:type="paragraph" w:styleId="BodyText">
    <w:name w:val="Body Text"/>
    <w:basedOn w:val="Normal"/>
    <w:link w:val="BodyTextChar"/>
    <w:rsid w:val="00695821"/>
    <w:pPr>
      <w:spacing w:after="120" w:line="240" w:lineRule="auto"/>
    </w:pPr>
    <w:rPr>
      <w:rFonts w:ascii="Times New Roman" w:eastAsia="Times New Roman" w:hAnsi="Times New Roman" w:cs="Times New Roman"/>
      <w:sz w:val="24"/>
      <w:szCs w:val="20"/>
      <w:lang w:val="hr-HR"/>
    </w:rPr>
  </w:style>
  <w:style w:type="character" w:customStyle="1" w:styleId="BodyTextChar">
    <w:name w:val="Body Text Char"/>
    <w:basedOn w:val="DefaultParagraphFont"/>
    <w:link w:val="BodyText"/>
    <w:rsid w:val="00695821"/>
    <w:rPr>
      <w:rFonts w:ascii="Times New Roman" w:eastAsia="Times New Roman" w:hAnsi="Times New Roman" w:cs="Times New Roman"/>
      <w:sz w:val="24"/>
      <w:szCs w:val="20"/>
      <w:lang w:val="hr-HR"/>
    </w:rPr>
  </w:style>
  <w:style w:type="character" w:styleId="Emphasis">
    <w:name w:val="Emphasis"/>
    <w:qFormat/>
    <w:rsid w:val="00695821"/>
    <w:rPr>
      <w:i/>
      <w:iCs/>
    </w:rPr>
  </w:style>
  <w:style w:type="paragraph" w:styleId="BalloonText">
    <w:name w:val="Balloon Text"/>
    <w:basedOn w:val="Normal"/>
    <w:link w:val="BalloonTextChar"/>
    <w:uiPriority w:val="99"/>
    <w:semiHidden/>
    <w:unhideWhenUsed/>
    <w:rsid w:val="00695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821"/>
    <w:rPr>
      <w:rFonts w:ascii="Tahoma" w:hAnsi="Tahoma" w:cs="Tahoma"/>
      <w:sz w:val="16"/>
      <w:szCs w:val="16"/>
    </w:rPr>
  </w:style>
  <w:style w:type="character" w:customStyle="1" w:styleId="Heading2Char">
    <w:name w:val="Heading 2 Char"/>
    <w:basedOn w:val="DefaultParagraphFont"/>
    <w:link w:val="Heading2"/>
    <w:uiPriority w:val="9"/>
    <w:rsid w:val="0037667D"/>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93283"/>
    <w:pPr>
      <w:outlineLvl w:val="9"/>
    </w:pPr>
    <w:rPr>
      <w:lang w:val="en-US" w:eastAsia="ja-JP"/>
    </w:rPr>
  </w:style>
  <w:style w:type="paragraph" w:styleId="TOC1">
    <w:name w:val="toc 1"/>
    <w:basedOn w:val="Normal"/>
    <w:next w:val="Normal"/>
    <w:autoRedefine/>
    <w:uiPriority w:val="39"/>
    <w:unhideWhenUsed/>
    <w:rsid w:val="00F61501"/>
    <w:pPr>
      <w:tabs>
        <w:tab w:val="left" w:pos="440"/>
        <w:tab w:val="right" w:leader="dot" w:pos="9062"/>
      </w:tabs>
      <w:spacing w:after="100"/>
      <w:jc w:val="both"/>
    </w:pPr>
  </w:style>
  <w:style w:type="paragraph" w:styleId="TOC2">
    <w:name w:val="toc 2"/>
    <w:basedOn w:val="Normal"/>
    <w:next w:val="Normal"/>
    <w:autoRedefine/>
    <w:uiPriority w:val="39"/>
    <w:unhideWhenUsed/>
    <w:rsid w:val="00C93283"/>
    <w:pPr>
      <w:spacing w:after="100"/>
      <w:ind w:left="220"/>
    </w:pPr>
  </w:style>
  <w:style w:type="character" w:styleId="Hyperlink">
    <w:name w:val="Hyperlink"/>
    <w:basedOn w:val="DefaultParagraphFont"/>
    <w:uiPriority w:val="99"/>
    <w:unhideWhenUsed/>
    <w:rsid w:val="00C93283"/>
    <w:rPr>
      <w:color w:val="0000FF" w:themeColor="hyperlink"/>
      <w:u w:val="single"/>
    </w:rPr>
  </w:style>
  <w:style w:type="paragraph" w:styleId="Header">
    <w:name w:val="header"/>
    <w:basedOn w:val="Normal"/>
    <w:link w:val="HeaderChar"/>
    <w:uiPriority w:val="99"/>
    <w:unhideWhenUsed/>
    <w:rsid w:val="007E79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7900"/>
  </w:style>
  <w:style w:type="paragraph" w:styleId="Footer">
    <w:name w:val="footer"/>
    <w:basedOn w:val="Normal"/>
    <w:link w:val="FooterChar"/>
    <w:uiPriority w:val="99"/>
    <w:unhideWhenUsed/>
    <w:rsid w:val="007E79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7900"/>
  </w:style>
  <w:style w:type="paragraph" w:styleId="TableofFigures">
    <w:name w:val="table of figures"/>
    <w:basedOn w:val="Normal"/>
    <w:next w:val="Normal"/>
    <w:uiPriority w:val="99"/>
    <w:unhideWhenUsed/>
    <w:rsid w:val="00680042"/>
    <w:pPr>
      <w:spacing w:after="0"/>
    </w:pPr>
  </w:style>
  <w:style w:type="paragraph" w:styleId="ListParagraph">
    <w:name w:val="List Paragraph"/>
    <w:basedOn w:val="Normal"/>
    <w:uiPriority w:val="34"/>
    <w:qFormat/>
    <w:rsid w:val="007B7DD4"/>
    <w:pPr>
      <w:ind w:left="720"/>
      <w:contextualSpacing/>
    </w:pPr>
  </w:style>
  <w:style w:type="paragraph" w:styleId="FootnoteText">
    <w:name w:val="footnote text"/>
    <w:aliases w:val="Tekst fusnote Char2 Char,Tekst fusnote Char1 Char1 Char,Tekst fusnote Char Char Char1 Char,Tekst fusnote Char1 Char Char Char Char,Tekst fusnote Char Char Char Char Char Char,Tekst fusnote Char Char1 Char Char,fn,Fußnote"/>
    <w:basedOn w:val="Normal"/>
    <w:link w:val="FootnoteTextChar"/>
    <w:uiPriority w:val="99"/>
    <w:rsid w:val="00E06390"/>
    <w:pPr>
      <w:spacing w:after="0" w:line="240" w:lineRule="auto"/>
    </w:pPr>
    <w:rPr>
      <w:rFonts w:ascii="Times New Roman" w:eastAsia="Times New Roman" w:hAnsi="Times New Roman" w:cs="Times New Roman"/>
      <w:sz w:val="20"/>
      <w:szCs w:val="20"/>
      <w:lang w:val="hr-HR" w:eastAsia="hr-HR"/>
    </w:rPr>
  </w:style>
  <w:style w:type="character" w:customStyle="1" w:styleId="FootnoteTextChar">
    <w:name w:val="Footnote Text Char"/>
    <w:aliases w:val="Tekst fusnote Char2 Char Char,Tekst fusnote Char1 Char1 Char Char,Tekst fusnote Char Char Char1 Char Char,Tekst fusnote Char1 Char Char Char Char Char,Tekst fusnote Char Char Char Char Char Char Char,fn Char,Fußnote Char"/>
    <w:basedOn w:val="DefaultParagraphFont"/>
    <w:link w:val="FootnoteText"/>
    <w:uiPriority w:val="99"/>
    <w:rsid w:val="00E06390"/>
    <w:rPr>
      <w:rFonts w:ascii="Times New Roman" w:eastAsia="Times New Roman" w:hAnsi="Times New Roman" w:cs="Times New Roman"/>
      <w:sz w:val="20"/>
      <w:szCs w:val="20"/>
      <w:lang w:val="hr-HR" w:eastAsia="hr-HR"/>
    </w:rPr>
  </w:style>
  <w:style w:type="character" w:styleId="FootnoteReference">
    <w:name w:val="footnote reference"/>
    <w:aliases w:val="BVI fnr,16 Point,Superscript 6 Point"/>
    <w:basedOn w:val="DefaultParagraphFont"/>
    <w:rsid w:val="00E06390"/>
    <w:rPr>
      <w:vertAlign w:val="superscript"/>
    </w:rPr>
  </w:style>
  <w:style w:type="paragraph" w:customStyle="1" w:styleId="Default">
    <w:name w:val="Default"/>
    <w:rsid w:val="00BB1B39"/>
    <w:pPr>
      <w:autoSpaceDE w:val="0"/>
      <w:autoSpaceDN w:val="0"/>
      <w:adjustRightInd w:val="0"/>
      <w:spacing w:after="0" w:line="240" w:lineRule="auto"/>
    </w:pPr>
    <w:rPr>
      <w:rFonts w:ascii="Times New Roman" w:hAnsi="Times New Roman" w:cs="Times New Roman"/>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5065">
      <w:bodyDiv w:val="1"/>
      <w:marLeft w:val="0"/>
      <w:marRight w:val="0"/>
      <w:marTop w:val="0"/>
      <w:marBottom w:val="0"/>
      <w:divBdr>
        <w:top w:val="none" w:sz="0" w:space="0" w:color="auto"/>
        <w:left w:val="none" w:sz="0" w:space="0" w:color="auto"/>
        <w:bottom w:val="none" w:sz="0" w:space="0" w:color="auto"/>
        <w:right w:val="none" w:sz="0" w:space="0" w:color="auto"/>
      </w:divBdr>
    </w:div>
    <w:div w:id="449478543">
      <w:bodyDiv w:val="1"/>
      <w:marLeft w:val="0"/>
      <w:marRight w:val="0"/>
      <w:marTop w:val="0"/>
      <w:marBottom w:val="0"/>
      <w:divBdr>
        <w:top w:val="none" w:sz="0" w:space="0" w:color="auto"/>
        <w:left w:val="none" w:sz="0" w:space="0" w:color="auto"/>
        <w:bottom w:val="none" w:sz="0" w:space="0" w:color="auto"/>
        <w:right w:val="none" w:sz="0" w:space="0" w:color="auto"/>
      </w:divBdr>
    </w:div>
    <w:div w:id="1001618430">
      <w:bodyDiv w:val="1"/>
      <w:marLeft w:val="0"/>
      <w:marRight w:val="0"/>
      <w:marTop w:val="0"/>
      <w:marBottom w:val="0"/>
      <w:divBdr>
        <w:top w:val="none" w:sz="0" w:space="0" w:color="auto"/>
        <w:left w:val="none" w:sz="0" w:space="0" w:color="auto"/>
        <w:bottom w:val="none" w:sz="0" w:space="0" w:color="auto"/>
        <w:right w:val="none" w:sz="0" w:space="0" w:color="auto"/>
      </w:divBdr>
    </w:div>
    <w:div w:id="14039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5FA4-30AE-4146-8B43-EAAB4355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8062</Words>
  <Characters>45955</Characters>
  <Application>Microsoft Office Word</Application>
  <DocSecurity>0</DocSecurity>
  <Lines>382</Lines>
  <Paragraphs>107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MFIN</cp:lastModifiedBy>
  <cp:revision>7</cp:revision>
  <cp:lastPrinted>2020-10-29T03:28:00Z</cp:lastPrinted>
  <dcterms:created xsi:type="dcterms:W3CDTF">2020-10-29T01:58:00Z</dcterms:created>
  <dcterms:modified xsi:type="dcterms:W3CDTF">2020-10-29T09:04:00Z</dcterms:modified>
</cp:coreProperties>
</file>