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07368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5528278F" w14:textId="0AE5C933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Kreditne institucije i </w:t>
      </w:r>
      <w:proofErr w:type="spellStart"/>
      <w:r w:rsidRPr="00AF091F">
        <w:rPr>
          <w:rFonts w:ascii="Arial" w:eastAsia="Calibri" w:hAnsi="Arial" w:cs="Arial"/>
          <w:sz w:val="24"/>
          <w:szCs w:val="24"/>
          <w:lang w:val="hr-HR"/>
        </w:rPr>
        <w:t>faktoring</w:t>
      </w:r>
      <w:proofErr w:type="spellEnd"/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društva koja su navedena u Prilogu </w:t>
      </w:r>
      <w:r w:rsidR="005303B3" w:rsidRPr="00AF091F">
        <w:rPr>
          <w:rFonts w:ascii="Arial" w:eastAsia="Calibri" w:hAnsi="Arial" w:cs="Arial"/>
          <w:sz w:val="24"/>
          <w:szCs w:val="24"/>
          <w:lang w:val="hr-HR"/>
        </w:rPr>
        <w:t>A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 xml:space="preserve">i koji su pristupili ovoj Promemoriji («Vjerovnici») </w:t>
      </w:r>
    </w:p>
    <w:p w14:paraId="00827D6F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2912AEB1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i </w:t>
      </w:r>
    </w:p>
    <w:p w14:paraId="4CC48BF3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2B39D1D7" w14:textId="20F4C52D" w:rsidR="00F717C4" w:rsidRPr="00AF091F" w:rsidRDefault="00567DF0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D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>obavljač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i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koncerna Agrokor d.d.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 xml:space="preserve"> i članica Grupe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navedeni u Prilogu </w:t>
      </w:r>
      <w:r w:rsidR="005303B3" w:rsidRPr="00AF091F">
        <w:rPr>
          <w:rFonts w:ascii="Arial" w:eastAsia="Calibri" w:hAnsi="Arial" w:cs="Arial"/>
          <w:sz w:val="24"/>
          <w:szCs w:val="24"/>
          <w:lang w:val="hr-HR"/>
        </w:rPr>
        <w:t>B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ikoji su pristupili ovoj Promemoriji («Dobavljači»)</w:t>
      </w:r>
    </w:p>
    <w:p w14:paraId="6433FE1E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39A8BD02" w14:textId="77777777" w:rsidR="00F717C4" w:rsidRPr="00AF091F" w:rsidRDefault="00567DF0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i</w:t>
      </w:r>
    </w:p>
    <w:p w14:paraId="1967D616" w14:textId="77777777" w:rsidR="00567DF0" w:rsidRPr="00AF091F" w:rsidRDefault="00567DF0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18B18F36" w14:textId="6EADB525" w:rsidR="00742E81" w:rsidRPr="00AF091F" w:rsidRDefault="00567DF0" w:rsidP="00520B9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Agrokor koncern za upravljanje društvima, proizvodnju i trgovinu poljoprivrednim proizvodima, dioničko društvo, Zagreb, Trg Dražena Petrovića br. 3, zastupan po izvanrednom povjereniku Anti Ramljaku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3090B1DF" w14:textId="77777777" w:rsidR="00C06D6C" w:rsidRPr="00AF091F" w:rsidRDefault="00C06D6C" w:rsidP="00520B9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6ECFD312" w14:textId="60771799" w:rsidR="00F717C4" w:rsidRPr="00AF091F" w:rsidRDefault="00FE458E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dana 14.04.2017. sastavili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su </w:t>
      </w:r>
      <w:r w:rsidR="00064E5A" w:rsidRPr="00AF091F">
        <w:rPr>
          <w:rFonts w:ascii="Arial" w:eastAsia="Calibri" w:hAnsi="Arial" w:cs="Arial"/>
          <w:sz w:val="24"/>
          <w:szCs w:val="24"/>
          <w:lang w:val="hr-HR"/>
        </w:rPr>
        <w:t>sljedeću</w:t>
      </w:r>
    </w:p>
    <w:p w14:paraId="35E14C2E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1F345741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36042A96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hr-HR"/>
        </w:rPr>
      </w:pPr>
    </w:p>
    <w:p w14:paraId="58E28B64" w14:textId="6714CE21" w:rsidR="00F717C4" w:rsidRPr="00AF091F" w:rsidRDefault="00064E5A" w:rsidP="00F717C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hr-HR"/>
        </w:rPr>
      </w:pPr>
      <w:r w:rsidRPr="00AF091F">
        <w:rPr>
          <w:rFonts w:ascii="Arial" w:eastAsia="Calibri" w:hAnsi="Arial" w:cs="Arial"/>
          <w:b/>
          <w:sz w:val="24"/>
          <w:szCs w:val="24"/>
          <w:lang w:val="hr-HR"/>
        </w:rPr>
        <w:t xml:space="preserve">PROMEMORIJU SA SASTANKA KOORDINACIJE DOBAVLJAČA, FINANCIJSKIH INSTITUCIJA I DRUŠTVA AGROKOR d.d. </w:t>
      </w:r>
    </w:p>
    <w:p w14:paraId="060A5F70" w14:textId="53D12498" w:rsidR="00F717C4" w:rsidRPr="00AF091F" w:rsidRDefault="00FE458E" w:rsidP="00F717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(«Promemorija»)</w:t>
      </w:r>
    </w:p>
    <w:p w14:paraId="56FBF293" w14:textId="77777777" w:rsidR="00F717C4" w:rsidRPr="00AF091F" w:rsidRDefault="00F717C4" w:rsidP="00F717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</w:p>
    <w:p w14:paraId="1A95D5A9" w14:textId="77777777" w:rsidR="00F717C4" w:rsidRPr="00AF091F" w:rsidRDefault="00F717C4" w:rsidP="000736BC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Polazeći od činjenica:</w:t>
      </w:r>
    </w:p>
    <w:p w14:paraId="01326939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21FA7F48" w14:textId="77777777" w:rsidR="00B906BF" w:rsidRPr="00AF091F" w:rsidRDefault="00B906BF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86C3000" w14:textId="38F122C8" w:rsidR="00F717C4" w:rsidRPr="00AF091F" w:rsidRDefault="00F717C4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da su društva koncerna Agrokor i to: društvo Agrokor koncern za upravljanje društvima, proizvodnju i trgovinu poljoprivrednim proizvodima, dioničko društvo, Zagreb (Grad Zagreb), Trg Dražena Petrovića br.3, OIB 05937759187 (dalje: Agrokor d.d.) i njegova ovisna i povezana društva navedena u rješenju Trgovačkog suda u Zagrebu, posl.br. St - 1138/17 od 10. travnja 2017. </w:t>
      </w:r>
      <w:r w:rsidR="00FE458E">
        <w:rPr>
          <w:rFonts w:ascii="Arial" w:eastAsia="Calibri" w:hAnsi="Arial" w:cs="Arial"/>
          <w:sz w:val="24"/>
          <w:szCs w:val="24"/>
          <w:lang w:val="hr-HR"/>
        </w:rPr>
        <w:t xml:space="preserve"> i mogućim dopunama tog rješenja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(«</w:t>
      </w:r>
      <w:r w:rsidR="00C06D6C" w:rsidRPr="00AF091F">
        <w:rPr>
          <w:rFonts w:ascii="Arial" w:eastAsia="Calibri" w:hAnsi="Arial" w:cs="Arial"/>
          <w:sz w:val="24"/>
          <w:szCs w:val="24"/>
          <w:lang w:val="hr-HR"/>
        </w:rPr>
        <w:t xml:space="preserve">članice </w:t>
      </w:r>
      <w:r w:rsidR="00B906BF" w:rsidRPr="00AF091F">
        <w:rPr>
          <w:rFonts w:ascii="Arial" w:eastAsia="Calibri" w:hAnsi="Arial" w:cs="Arial"/>
          <w:sz w:val="24"/>
          <w:szCs w:val="24"/>
          <w:lang w:val="hr-HR"/>
        </w:rPr>
        <w:t>G</w:t>
      </w:r>
      <w:r w:rsidR="00C06D6C" w:rsidRPr="00AF091F">
        <w:rPr>
          <w:rFonts w:ascii="Arial" w:eastAsia="Calibri" w:hAnsi="Arial" w:cs="Arial"/>
          <w:sz w:val="24"/>
          <w:szCs w:val="24"/>
          <w:lang w:val="hr-HR"/>
        </w:rPr>
        <w:t>rupe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»</w:t>
      </w:r>
      <w:r w:rsidR="00C06D6C" w:rsidRPr="00AF091F">
        <w:rPr>
          <w:rFonts w:ascii="Arial" w:eastAsia="Calibri" w:hAnsi="Arial" w:cs="Arial"/>
          <w:sz w:val="24"/>
          <w:szCs w:val="24"/>
          <w:lang w:val="hr-HR"/>
        </w:rPr>
        <w:t xml:space="preserve">)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izdavali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D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obavljačima mjenice radi podmirivanja svojih novčanih obveza; </w:t>
      </w:r>
    </w:p>
    <w:p w14:paraId="097A2A1B" w14:textId="77777777" w:rsidR="00F717C4" w:rsidRPr="00AF091F" w:rsidRDefault="00F717C4" w:rsidP="000736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2EAE0790" w14:textId="184D28A3" w:rsidR="00F717C4" w:rsidRPr="00AF091F" w:rsidRDefault="00F717C4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da su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Vjerovnici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vršili otkup mjenica izdanih u korist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D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obavljača od  </w:t>
      </w:r>
      <w:r w:rsidR="00064E5A" w:rsidRPr="00AF091F">
        <w:rPr>
          <w:rFonts w:ascii="Arial" w:eastAsia="Calibri" w:hAnsi="Arial" w:cs="Arial"/>
          <w:sz w:val="24"/>
          <w:szCs w:val="24"/>
          <w:lang w:val="hr-HR"/>
        </w:rPr>
        <w:t xml:space="preserve">članica Grupe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kao glavnih mjeničnih dužnika te da su dobavljači u postupku otkupa mjenica izdane mjenice prenosili (indosirali) u korist </w:t>
      </w:r>
      <w:r w:rsidR="00B906BF" w:rsidRPr="00AF091F">
        <w:rPr>
          <w:rFonts w:ascii="Arial" w:eastAsia="Calibri" w:hAnsi="Arial" w:cs="Arial"/>
          <w:sz w:val="24"/>
          <w:szCs w:val="24"/>
          <w:lang w:val="hr-HR"/>
        </w:rPr>
        <w:t>Vjerovnika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;</w:t>
      </w:r>
    </w:p>
    <w:p w14:paraId="7756D0DD" w14:textId="77777777" w:rsidR="00E83340" w:rsidRPr="00AF091F" w:rsidRDefault="00E83340" w:rsidP="000736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216B227A" w14:textId="0A9AD4F7" w:rsidR="00B906BF" w:rsidRPr="00AF091F" w:rsidRDefault="00B906BF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da su Vjerovnici vršili otkup potraživanja Dobavljača prema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 xml:space="preserve">članicama Grupe temeljem isporučene robe i usluga («Regresni </w:t>
      </w:r>
      <w:proofErr w:type="spellStart"/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faktoring</w:t>
      </w:r>
      <w:proofErr w:type="spellEnd"/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»);</w:t>
      </w:r>
    </w:p>
    <w:p w14:paraId="5953E5FE" w14:textId="77777777" w:rsidR="00B906BF" w:rsidRPr="00AF091F" w:rsidRDefault="00B906BF" w:rsidP="000736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07A0A8DC" w14:textId="77777777" w:rsidR="003B05BE" w:rsidRPr="00AF091F" w:rsidRDefault="003B05BE" w:rsidP="000736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D7BB821" w14:textId="52DCA32B" w:rsidR="003B05BE" w:rsidRPr="00AF091F" w:rsidRDefault="003B05BE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da su Dobavljači, pored solidarne obveze za isplatu mjenica članica Grupe, ujedno i glavni mjenični dužnici po mjenicama i drugim instrumentima osiguranja danim kao sredstvo osiguranja za obvezu mjeničnog jamstva, a koje su korištene za (</w:t>
      </w:r>
      <w:proofErr w:type="spellStart"/>
      <w:r w:rsidRPr="00AF091F">
        <w:rPr>
          <w:rFonts w:ascii="Arial" w:eastAsia="Calibri" w:hAnsi="Arial" w:cs="Arial"/>
          <w:sz w:val="24"/>
          <w:szCs w:val="24"/>
          <w:lang w:val="hr-HR"/>
        </w:rPr>
        <w:t>re</w:t>
      </w:r>
      <w:proofErr w:type="spellEnd"/>
      <w:r w:rsidRPr="00AF091F">
        <w:rPr>
          <w:rFonts w:ascii="Arial" w:eastAsia="Calibri" w:hAnsi="Arial" w:cs="Arial"/>
          <w:sz w:val="24"/>
          <w:szCs w:val="24"/>
          <w:lang w:val="hr-HR"/>
        </w:rPr>
        <w:t>)financiranje m</w:t>
      </w:r>
      <w:r w:rsidR="00FE458E">
        <w:rPr>
          <w:rFonts w:ascii="Arial" w:eastAsia="Calibri" w:hAnsi="Arial" w:cs="Arial"/>
          <w:sz w:val="24"/>
          <w:szCs w:val="24"/>
          <w:lang w:val="hr-HR"/>
        </w:rPr>
        <w:t>jenica izdanih od članica Grupe;</w:t>
      </w:r>
    </w:p>
    <w:p w14:paraId="2E53840F" w14:textId="77777777" w:rsidR="003B05BE" w:rsidRPr="00AF091F" w:rsidRDefault="003B05BE" w:rsidP="000736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44E1B87B" w14:textId="6418F9BA" w:rsidR="003B05BE" w:rsidRPr="00AF091F" w:rsidRDefault="003B05BE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da prema Dobavljačima potencijalno mogu istovremeno biti postavljena dva zahtjeva za isplatu tražbina: jedan s osnove regresne obveze po mjenicama izdanim od članica Grupe i drugi s osnove ob</w:t>
      </w:r>
      <w:r w:rsidR="00FE458E">
        <w:rPr>
          <w:rFonts w:ascii="Arial" w:eastAsia="Calibri" w:hAnsi="Arial" w:cs="Arial"/>
          <w:sz w:val="24"/>
          <w:szCs w:val="24"/>
          <w:lang w:val="hr-HR"/>
        </w:rPr>
        <w:t xml:space="preserve">veze glavnog </w:t>
      </w:r>
      <w:r w:rsidR="00FE458E">
        <w:rPr>
          <w:rFonts w:ascii="Arial" w:eastAsia="Calibri" w:hAnsi="Arial" w:cs="Arial"/>
          <w:sz w:val="24"/>
          <w:szCs w:val="24"/>
          <w:lang w:val="hr-HR"/>
        </w:rPr>
        <w:lastRenderedPageBreak/>
        <w:t xml:space="preserve">mjeničnog dužnika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temeljem instrumenata osiguranja danih za refinanciranje od strane Vjerovnika (sva potraživanja Vjerovnika prema Dobavljačima opisana u točkama od (i</w:t>
      </w:r>
      <w:r w:rsidR="00FE458E">
        <w:rPr>
          <w:rFonts w:ascii="Arial" w:eastAsia="Calibri" w:hAnsi="Arial" w:cs="Arial"/>
          <w:sz w:val="24"/>
          <w:szCs w:val="24"/>
          <w:lang w:val="hr-HR"/>
        </w:rPr>
        <w:t>i)- (v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) zajedno: «Potraživanja»)</w:t>
      </w:r>
      <w:r w:rsidR="00FE458E">
        <w:rPr>
          <w:rFonts w:ascii="Arial" w:eastAsia="Calibri" w:hAnsi="Arial" w:cs="Arial"/>
          <w:sz w:val="24"/>
          <w:szCs w:val="24"/>
          <w:lang w:val="hr-HR"/>
        </w:rPr>
        <w:t>;</w:t>
      </w:r>
    </w:p>
    <w:p w14:paraId="226F28C4" w14:textId="77777777" w:rsidR="003B05BE" w:rsidRPr="00AF091F" w:rsidRDefault="003B05BE" w:rsidP="000736BC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6B37C9EB" w14:textId="10910DF0" w:rsidR="00F717C4" w:rsidRPr="00AF091F" w:rsidRDefault="00F717C4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da su 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D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obavljači potpisivanjem indosamenta postali mjenični dužnici koji solidarno odgovaraju za isplatu mjeničnog iznosa</w:t>
      </w:r>
      <w:r w:rsidR="0055317B" w:rsidRPr="00AF091F">
        <w:rPr>
          <w:rFonts w:ascii="Arial" w:eastAsia="Calibri" w:hAnsi="Arial" w:cs="Arial"/>
          <w:sz w:val="24"/>
          <w:szCs w:val="24"/>
          <w:lang w:val="hr-HR"/>
        </w:rPr>
        <w:t>, odnosno sklapanjem ugovora jamčili za naplatu ustupljenih potraživanja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;</w:t>
      </w:r>
    </w:p>
    <w:p w14:paraId="1C14C99F" w14:textId="77777777" w:rsidR="000736BC" w:rsidRPr="00AF091F" w:rsidRDefault="000736BC" w:rsidP="000736BC">
      <w:pPr>
        <w:spacing w:after="0" w:line="240" w:lineRule="auto"/>
        <w:ind w:left="360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3B198917" w14:textId="05CD7321" w:rsidR="00B21256" w:rsidRPr="00AF091F" w:rsidRDefault="003B05BE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da su članice Grupe prestale izdane mjenice plaćati odnosno, plaćati obveze po dospijeću;</w:t>
      </w:r>
    </w:p>
    <w:p w14:paraId="5DAD1D1B" w14:textId="77777777" w:rsidR="00B21256" w:rsidRPr="00AF091F" w:rsidRDefault="00B21256" w:rsidP="000736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5428846" w14:textId="2A7DA500" w:rsidR="00F717C4" w:rsidRPr="00AF091F" w:rsidRDefault="00F717C4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da je nad </w:t>
      </w:r>
      <w:r w:rsidR="00DD2090" w:rsidRPr="00AF091F">
        <w:rPr>
          <w:rFonts w:ascii="Arial" w:eastAsia="Calibri" w:hAnsi="Arial" w:cs="Arial"/>
          <w:sz w:val="24"/>
          <w:szCs w:val="24"/>
          <w:lang w:val="hr-HR"/>
        </w:rPr>
        <w:t>članicama Grupe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, rješenjem Trgovačkog suda u Zagrebu, posl.br. St - 1138/17 od 10. travnja 2017. otvoren postupak izvanredne uprave;</w:t>
      </w:r>
    </w:p>
    <w:p w14:paraId="7472BBBF" w14:textId="77777777" w:rsidR="00F717C4" w:rsidRPr="00AF091F" w:rsidRDefault="00F717C4" w:rsidP="000736BC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709971D0" w14:textId="0713D728" w:rsidR="00F717C4" w:rsidRPr="00AF091F" w:rsidRDefault="00F717C4" w:rsidP="000736B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da prisilna naplata </w:t>
      </w:r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>P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otraživanja prema </w:t>
      </w:r>
      <w:r w:rsidR="00E83340" w:rsidRPr="00AF091F">
        <w:rPr>
          <w:rFonts w:ascii="Arial" w:eastAsia="Calibri" w:hAnsi="Arial" w:cs="Arial"/>
          <w:sz w:val="24"/>
          <w:szCs w:val="24"/>
          <w:lang w:val="hr-HR"/>
        </w:rPr>
        <w:t xml:space="preserve">članicama </w:t>
      </w:r>
      <w:r w:rsidR="00064E5A" w:rsidRPr="00AF091F">
        <w:rPr>
          <w:rFonts w:ascii="Arial" w:eastAsia="Calibri" w:hAnsi="Arial" w:cs="Arial"/>
          <w:sz w:val="24"/>
          <w:szCs w:val="24"/>
          <w:lang w:val="hr-HR"/>
        </w:rPr>
        <w:t>Grupe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za vrijeme trajanja postupka izvanredne uprave nije dozvoljena;</w:t>
      </w:r>
    </w:p>
    <w:p w14:paraId="49B03A43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9CEE25C" w14:textId="77777777" w:rsidR="00807ED3" w:rsidRPr="00AF091F" w:rsidRDefault="00807ED3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6D8F874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CC02560" w14:textId="17BD9677" w:rsidR="00F717C4" w:rsidRPr="00AF091F" w:rsidRDefault="00F717C4" w:rsidP="000736BC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strane smatraju da je u njihovom zajedničkom i najboljem interesu </w:t>
      </w:r>
      <w:r w:rsidR="00E83340" w:rsidRPr="00AF091F">
        <w:rPr>
          <w:rFonts w:ascii="Arial" w:eastAsia="Calibri" w:hAnsi="Arial" w:cs="Arial"/>
          <w:sz w:val="24"/>
          <w:szCs w:val="24"/>
          <w:lang w:val="hr-HR"/>
        </w:rPr>
        <w:t>pristupanje ovoj Promemoriji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.</w:t>
      </w:r>
    </w:p>
    <w:p w14:paraId="1266A64D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070683F6" w14:textId="77777777" w:rsidR="00F717C4" w:rsidRPr="00AF091F" w:rsidRDefault="00F717C4" w:rsidP="000736BC">
      <w:pPr>
        <w:spacing w:after="0" w:line="240" w:lineRule="auto"/>
        <w:ind w:left="360"/>
        <w:jc w:val="center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I.</w:t>
      </w:r>
    </w:p>
    <w:p w14:paraId="20011962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1B177DE" w14:textId="77777777" w:rsidR="001F2E4F" w:rsidRPr="00AF091F" w:rsidRDefault="001F2E4F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482683D2" w14:textId="13CC03F5" w:rsidR="001F2E4F" w:rsidRPr="00AF091F" w:rsidRDefault="000A3FD9" w:rsidP="000736BC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Svrha ove</w:t>
      </w:r>
      <w:r w:rsidR="001F2E4F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Promemorije</w:t>
      </w:r>
      <w:r w:rsidR="00E53749" w:rsidRPr="00AF091F">
        <w:rPr>
          <w:rFonts w:ascii="Arial" w:eastAsia="Calibri" w:hAnsi="Arial" w:cs="Arial"/>
          <w:sz w:val="24"/>
          <w:szCs w:val="24"/>
          <w:lang w:val="hr-HR"/>
        </w:rPr>
        <w:t xml:space="preserve"> je definiranje uvjeta  pod kojima će se </w:t>
      </w:r>
      <w:r w:rsidR="00E83340" w:rsidRPr="00AF091F">
        <w:rPr>
          <w:rFonts w:ascii="Arial" w:eastAsia="Calibri" w:hAnsi="Arial" w:cs="Arial"/>
          <w:sz w:val="24"/>
          <w:szCs w:val="24"/>
          <w:lang w:val="hr-HR"/>
        </w:rPr>
        <w:t>Vjerovnici</w:t>
      </w:r>
      <w:r w:rsidR="00E53749" w:rsidRPr="00AF091F">
        <w:rPr>
          <w:rFonts w:ascii="Arial" w:eastAsia="Calibri" w:hAnsi="Arial" w:cs="Arial"/>
          <w:sz w:val="24"/>
          <w:szCs w:val="24"/>
          <w:lang w:val="hr-HR"/>
        </w:rPr>
        <w:t xml:space="preserve"> suzdržavati od postupaka prisilne naplate </w:t>
      </w:r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>Potraživanja</w:t>
      </w:r>
      <w:r w:rsidR="00E53749" w:rsidRPr="00AF091F">
        <w:rPr>
          <w:rFonts w:ascii="Arial" w:eastAsia="Calibri" w:hAnsi="Arial" w:cs="Arial"/>
          <w:sz w:val="24"/>
          <w:szCs w:val="24"/>
          <w:lang w:val="hr-HR"/>
        </w:rPr>
        <w:t xml:space="preserve">, kao i načela kojima će se </w:t>
      </w:r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>Vjerovnici i D</w:t>
      </w:r>
      <w:r w:rsidR="00E53749" w:rsidRPr="00AF091F">
        <w:rPr>
          <w:rFonts w:ascii="Arial" w:eastAsia="Calibri" w:hAnsi="Arial" w:cs="Arial"/>
          <w:sz w:val="24"/>
          <w:szCs w:val="24"/>
          <w:lang w:val="hr-HR"/>
        </w:rPr>
        <w:t xml:space="preserve">obavljači voditi </w:t>
      </w:r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 xml:space="preserve">u nastojanjima mirnog rješenja </w:t>
      </w:r>
      <w:r w:rsidR="00E53749" w:rsidRPr="00AF091F">
        <w:rPr>
          <w:rFonts w:ascii="Arial" w:eastAsia="Calibri" w:hAnsi="Arial" w:cs="Arial"/>
          <w:sz w:val="24"/>
          <w:szCs w:val="24"/>
          <w:lang w:val="hr-HR"/>
        </w:rPr>
        <w:t xml:space="preserve">međusobnih odnosa </w:t>
      </w:r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 xml:space="preserve">nastalih </w:t>
      </w:r>
      <w:r w:rsidR="00E53749" w:rsidRPr="00AF091F">
        <w:rPr>
          <w:rFonts w:ascii="Arial" w:eastAsia="Calibri" w:hAnsi="Arial" w:cs="Arial"/>
          <w:sz w:val="24"/>
          <w:szCs w:val="24"/>
          <w:lang w:val="hr-HR"/>
        </w:rPr>
        <w:t>povodom činjenica i okolnosti koje su uvodno opisane.</w:t>
      </w:r>
      <w:r w:rsidR="002C283E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7A9015AB" w14:textId="5D8AB0F4" w:rsidR="000A3FD9" w:rsidRPr="00AF091F" w:rsidRDefault="000A3FD9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2CB36A11" w14:textId="77777777" w:rsidR="000A3FD9" w:rsidRPr="00AF091F" w:rsidRDefault="000A3FD9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A6E6FB4" w14:textId="71CFD34E" w:rsidR="000A3FD9" w:rsidRPr="00AF091F" w:rsidRDefault="000A3FD9" w:rsidP="000736BC">
      <w:pPr>
        <w:spacing w:after="0" w:line="240" w:lineRule="auto"/>
        <w:ind w:left="284"/>
        <w:jc w:val="center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II.</w:t>
      </w:r>
    </w:p>
    <w:p w14:paraId="035F146F" w14:textId="77777777" w:rsidR="00E53749" w:rsidRPr="00AF091F" w:rsidRDefault="00E53749" w:rsidP="000736BC">
      <w:pPr>
        <w:spacing w:after="0" w:line="240" w:lineRule="auto"/>
        <w:ind w:left="284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65379419" w14:textId="3266CA63" w:rsidR="00B21256" w:rsidRPr="00AF091F" w:rsidRDefault="003B05BE" w:rsidP="000736BC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Vjerovnici</w:t>
      </w:r>
      <w:r w:rsidR="000736BC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B21256" w:rsidRPr="00AF091F">
        <w:rPr>
          <w:rFonts w:ascii="Arial" w:eastAsia="Calibri" w:hAnsi="Arial" w:cs="Arial"/>
          <w:sz w:val="24"/>
          <w:szCs w:val="24"/>
          <w:lang w:val="hr-HR"/>
        </w:rPr>
        <w:t xml:space="preserve">za vrijeme trajanja postupka izvanredne uprave 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>suzdržavat</w:t>
      </w:r>
      <w:r w:rsidR="000A3FD9" w:rsidRPr="00AF091F">
        <w:rPr>
          <w:rFonts w:ascii="Arial" w:eastAsia="Calibri" w:hAnsi="Arial" w:cs="Arial"/>
          <w:sz w:val="24"/>
          <w:szCs w:val="24"/>
          <w:lang w:val="hr-HR"/>
        </w:rPr>
        <w:t xml:space="preserve"> će se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od pokretanja i vođenja postupaka prisilne naplate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Potraživanja protiv D</w:t>
      </w:r>
      <w:r w:rsidR="000A3FD9" w:rsidRPr="00AF091F">
        <w:rPr>
          <w:rFonts w:ascii="Arial" w:eastAsia="Calibri" w:hAnsi="Arial" w:cs="Arial"/>
          <w:sz w:val="24"/>
          <w:szCs w:val="24"/>
          <w:lang w:val="hr-HR"/>
        </w:rPr>
        <w:t xml:space="preserve">obavljača </w:t>
      </w:r>
      <w:r w:rsidR="00BA123E">
        <w:rPr>
          <w:rFonts w:ascii="Arial" w:eastAsia="Calibri" w:hAnsi="Arial" w:cs="Arial"/>
          <w:sz w:val="24"/>
          <w:szCs w:val="24"/>
          <w:lang w:val="hr-HR"/>
        </w:rPr>
        <w:t>ukoliko su kumulativno ispunjeni sljedeći uvjeti</w:t>
      </w:r>
      <w:r w:rsidR="000A3FD9" w:rsidRPr="00AF091F">
        <w:rPr>
          <w:rFonts w:ascii="Arial" w:eastAsia="Calibri" w:hAnsi="Arial" w:cs="Arial"/>
          <w:sz w:val="24"/>
          <w:szCs w:val="24"/>
          <w:lang w:val="hr-HR"/>
        </w:rPr>
        <w:t>: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20397892" w14:textId="77777777" w:rsidR="00B21256" w:rsidRPr="00AF091F" w:rsidRDefault="00B21256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4F00364A" w14:textId="54004E80" w:rsidR="003B05BE" w:rsidRPr="00AF091F" w:rsidRDefault="000A3FD9" w:rsidP="007A5B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Dobavljač je priznao </w:t>
      </w:r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 xml:space="preserve">Potraživanje Vjerovnika s osnova </w:t>
      </w:r>
      <w:r w:rsidR="00FE458E">
        <w:rPr>
          <w:rFonts w:ascii="Arial" w:eastAsia="Calibri" w:hAnsi="Arial" w:cs="Arial"/>
          <w:sz w:val="24"/>
          <w:szCs w:val="24"/>
          <w:lang w:val="hr-HR"/>
        </w:rPr>
        <w:t>mjenice, mjeničnog jamstva ili R</w:t>
      </w:r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 xml:space="preserve">egresnog </w:t>
      </w:r>
      <w:proofErr w:type="spellStart"/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>faktoringa</w:t>
      </w:r>
      <w:proofErr w:type="spellEnd"/>
      <w:r w:rsidR="003B05BE" w:rsidRPr="00AF091F">
        <w:rPr>
          <w:rFonts w:ascii="Arial" w:eastAsia="Calibri" w:hAnsi="Arial" w:cs="Arial"/>
          <w:sz w:val="24"/>
          <w:szCs w:val="24"/>
          <w:lang w:val="hr-HR"/>
        </w:rPr>
        <w:t>;</w:t>
      </w:r>
    </w:p>
    <w:p w14:paraId="52172260" w14:textId="54AC20C5" w:rsidR="003B05BE" w:rsidRPr="00AF091F" w:rsidRDefault="003B05BE" w:rsidP="007A5B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Dobavljač je sklopio pravni posao s Vjerovnikom </w:t>
      </w:r>
      <w:r w:rsidR="005F74E6" w:rsidRPr="00AF091F">
        <w:rPr>
          <w:rFonts w:ascii="Arial" w:eastAsia="Calibri" w:hAnsi="Arial" w:cs="Arial"/>
          <w:sz w:val="24"/>
          <w:szCs w:val="24"/>
          <w:lang w:val="hr-HR"/>
        </w:rPr>
        <w:t>kojim Vjerovnik i Dobavljač, sukladno svojim interesima i mogućnostima, postižu međusobno prihvatljiv</w:t>
      </w:r>
      <w:r w:rsidR="00AC1357" w:rsidRPr="00AF091F">
        <w:rPr>
          <w:rFonts w:ascii="Arial" w:eastAsia="Calibri" w:hAnsi="Arial" w:cs="Arial"/>
          <w:sz w:val="24"/>
          <w:szCs w:val="24"/>
          <w:lang w:val="hr-HR"/>
        </w:rPr>
        <w:t xml:space="preserve"> dogovor </w:t>
      </w:r>
      <w:r w:rsidR="00027B04" w:rsidRPr="00AF091F">
        <w:rPr>
          <w:rFonts w:ascii="Arial" w:eastAsia="Calibri" w:hAnsi="Arial" w:cs="Arial"/>
          <w:sz w:val="24"/>
          <w:szCs w:val="24"/>
          <w:lang w:val="hr-HR"/>
        </w:rPr>
        <w:t>o načinu uređenja međusobnih odnosa u vezi Potraživanja;</w:t>
      </w:r>
    </w:p>
    <w:p w14:paraId="36EE8284" w14:textId="756C93C4" w:rsidR="00027B04" w:rsidRDefault="00FE458E" w:rsidP="007A5B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Dobavljač n</w:t>
      </w:r>
      <w:r w:rsidR="00027B04" w:rsidRPr="00AF091F">
        <w:rPr>
          <w:rFonts w:ascii="Arial" w:eastAsia="Calibri" w:hAnsi="Arial" w:cs="Arial"/>
          <w:sz w:val="24"/>
          <w:szCs w:val="24"/>
          <w:lang w:val="hr-HR"/>
        </w:rPr>
        <w:t>ije pokrenuo niti vodi sudski ili bilo kakav drugi postupak svrha kojeg je osporavanje Potraživanja</w:t>
      </w:r>
    </w:p>
    <w:p w14:paraId="7DF88BD5" w14:textId="095A17C2" w:rsidR="00F5605B" w:rsidRPr="00AF091F" w:rsidRDefault="00FE458E" w:rsidP="007A5B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 xml:space="preserve">Dobavljač je </w:t>
      </w:r>
      <w:r w:rsidR="00F5605B">
        <w:rPr>
          <w:rFonts w:ascii="Arial" w:eastAsia="Calibri" w:hAnsi="Arial" w:cs="Arial"/>
          <w:sz w:val="24"/>
          <w:szCs w:val="24"/>
          <w:lang w:val="hr-HR"/>
        </w:rPr>
        <w:t>pristu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pio Promemoriji i sklopio s Vjerovnikom posao iz točke b) najkasnije do </w:t>
      </w:r>
      <w:r w:rsidR="00BA123E">
        <w:rPr>
          <w:rFonts w:ascii="Arial" w:eastAsia="Calibri" w:hAnsi="Arial" w:cs="Arial"/>
          <w:sz w:val="24"/>
          <w:szCs w:val="24"/>
          <w:lang w:val="hr-HR"/>
        </w:rPr>
        <w:t>31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. </w:t>
      </w:r>
      <w:r w:rsidR="00BA123E">
        <w:rPr>
          <w:rFonts w:ascii="Arial" w:eastAsia="Calibri" w:hAnsi="Arial" w:cs="Arial"/>
          <w:sz w:val="24"/>
          <w:szCs w:val="24"/>
          <w:lang w:val="hr-HR"/>
        </w:rPr>
        <w:t>svibnja</w:t>
      </w:r>
      <w:r>
        <w:rPr>
          <w:rFonts w:ascii="Arial" w:eastAsia="Calibri" w:hAnsi="Arial" w:cs="Arial"/>
          <w:sz w:val="24"/>
          <w:szCs w:val="24"/>
          <w:lang w:val="hr-HR"/>
        </w:rPr>
        <w:t xml:space="preserve"> 2017. godine.</w:t>
      </w:r>
    </w:p>
    <w:p w14:paraId="6F20B582" w14:textId="77777777" w:rsidR="00027B04" w:rsidRPr="00AF091F" w:rsidRDefault="00027B04" w:rsidP="007A5BE3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F9F8B73" w14:textId="321B59F1" w:rsidR="005F74E6" w:rsidRPr="00AF091F" w:rsidRDefault="008A3D5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U cilju omogućavanja što bržeg i jednostavnijeg sklapanja posla iz točke (b) ovog članka, u Prilogu</w:t>
      </w:r>
      <w:r w:rsidR="005303B3" w:rsidRPr="00AF091F">
        <w:rPr>
          <w:rFonts w:ascii="Arial" w:eastAsia="Calibri" w:hAnsi="Arial" w:cs="Arial"/>
          <w:sz w:val="24"/>
          <w:szCs w:val="24"/>
          <w:lang w:val="hr-HR"/>
        </w:rPr>
        <w:t xml:space="preserve"> C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 se daje pregled mogućih modela uređenja međusobnih odnosa</w:t>
      </w:r>
      <w:r w:rsidR="006A3B91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6A3B91" w:rsidRPr="00AF091F">
        <w:rPr>
          <w:rFonts w:ascii="Arial" w:eastAsia="Calibri" w:hAnsi="Arial" w:cs="Arial"/>
          <w:sz w:val="24"/>
          <w:szCs w:val="24"/>
          <w:lang w:val="hr-HR"/>
        </w:rPr>
        <w:lastRenderedPageBreak/>
        <w:t>(«Modeli»)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, pri čemu su Vjerovnici i Dobavljači slobodni bez ograničenja nuditi i dogovarati i drugačija rješenja na bilateralnoj osnovi.  </w:t>
      </w:r>
    </w:p>
    <w:p w14:paraId="35D7E665" w14:textId="562F9683" w:rsidR="000A3FD9" w:rsidRPr="00AF091F" w:rsidRDefault="000A3FD9" w:rsidP="007A5BE3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57D34BAF" w14:textId="66FBD2F6" w:rsidR="00F717C4" w:rsidRPr="00AF091F" w:rsidRDefault="00AC1357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Pod pretpostavkom da su ispunjeni svi uvjeti navedeni pod (a), (b) i (c) ovog članka, te da Dobavljač izvršava svoje obveze iz pravnog posla sklopljenog sukladno točki (b) ovog članka</w:t>
      </w:r>
      <w:r w:rsidR="00BC6E02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pokretanje postupka prisilne naplate </w:t>
      </w:r>
      <w:r w:rsidR="008A3D55" w:rsidRPr="00AF091F">
        <w:rPr>
          <w:rFonts w:ascii="Arial" w:eastAsia="Calibri" w:hAnsi="Arial" w:cs="Arial"/>
          <w:sz w:val="24"/>
          <w:szCs w:val="24"/>
          <w:lang w:val="hr-HR"/>
        </w:rPr>
        <w:t xml:space="preserve">Potraživanja 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(sudske ili </w:t>
      </w:r>
      <w:proofErr w:type="spellStart"/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>izvansudske</w:t>
      </w:r>
      <w:proofErr w:type="spellEnd"/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>) suprotno odredbama ovog stavka smatrat će se preuranjenim i nedopuštenim.</w:t>
      </w:r>
    </w:p>
    <w:p w14:paraId="18E9DCEB" w14:textId="77777777" w:rsidR="00BC6E02" w:rsidRPr="00AF091F" w:rsidRDefault="00BC6E02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ECCE4A2" w14:textId="77777777" w:rsidR="00BC6E02" w:rsidRPr="00AF091F" w:rsidRDefault="00BC6E02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44E28E87" w14:textId="0FCDB047" w:rsidR="00F717C4" w:rsidRPr="00AF091F" w:rsidRDefault="00F717C4" w:rsidP="00F717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II</w:t>
      </w:r>
      <w:r w:rsidR="005303B3" w:rsidRPr="00AF091F">
        <w:rPr>
          <w:rFonts w:ascii="Arial" w:eastAsia="Calibri" w:hAnsi="Arial" w:cs="Arial"/>
          <w:sz w:val="24"/>
          <w:szCs w:val="24"/>
          <w:lang w:val="hr-HR"/>
        </w:rPr>
        <w:t>I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.</w:t>
      </w:r>
    </w:p>
    <w:p w14:paraId="4282BBF7" w14:textId="77777777" w:rsidR="00F717C4" w:rsidRPr="00AF091F" w:rsidRDefault="00F717C4" w:rsidP="00F717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</w:p>
    <w:p w14:paraId="2C71D44A" w14:textId="497DC310" w:rsidR="00F717C4" w:rsidRPr="00AF091F" w:rsidRDefault="00D65666" w:rsidP="00D656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Promemorijom </w:t>
      </w:r>
      <w:r w:rsidR="004012E8" w:rsidRPr="00AF091F">
        <w:rPr>
          <w:rFonts w:ascii="Arial" w:eastAsia="Calibri" w:hAnsi="Arial" w:cs="Arial"/>
          <w:sz w:val="24"/>
          <w:szCs w:val="24"/>
          <w:lang w:val="hr-HR"/>
        </w:rPr>
        <w:t>svi njeni potpisnici</w:t>
      </w:r>
      <w:r w:rsidR="00BA533E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potvrđuju da će 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uložiti, u granicama svojih mogućnosti, najveće napore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a Grupe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da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s</w:t>
      </w:r>
      <w:r w:rsidR="004012E8" w:rsidRPr="00AF091F">
        <w:rPr>
          <w:rFonts w:ascii="Arial" w:eastAsia="Calibri" w:hAnsi="Arial" w:cs="Arial"/>
          <w:sz w:val="24"/>
          <w:szCs w:val="24"/>
          <w:lang w:val="hr-HR"/>
        </w:rPr>
        <w:t>e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pronađ</w:t>
      </w:r>
      <w:r w:rsidR="004012E8" w:rsidRPr="00AF091F">
        <w:rPr>
          <w:rFonts w:ascii="Arial" w:eastAsia="Calibri" w:hAnsi="Arial" w:cs="Arial"/>
          <w:sz w:val="24"/>
          <w:szCs w:val="24"/>
          <w:lang w:val="hr-HR"/>
        </w:rPr>
        <w:t>e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zajedničko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i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prihvatljivo rješenje</w:t>
      </w:r>
      <w:r w:rsidR="004012E8" w:rsidRPr="00AF091F">
        <w:rPr>
          <w:rFonts w:ascii="Arial" w:eastAsia="Calibri" w:hAnsi="Arial" w:cs="Arial"/>
          <w:sz w:val="24"/>
          <w:szCs w:val="24"/>
          <w:lang w:val="hr-HR"/>
        </w:rPr>
        <w:t xml:space="preserve"> s ciljem da u najvećoj mogućoj mjeri svoje obveze u vezi kojih su nastala Potraživanja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podmir</w:t>
      </w:r>
      <w:r w:rsidR="004012E8" w:rsidRPr="00AF091F">
        <w:rPr>
          <w:rFonts w:ascii="Arial" w:eastAsia="Calibri" w:hAnsi="Arial" w:cs="Arial"/>
          <w:sz w:val="24"/>
          <w:szCs w:val="24"/>
          <w:lang w:val="hr-HR"/>
        </w:rPr>
        <w:t>e članice Grupe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>.</w:t>
      </w:r>
    </w:p>
    <w:p w14:paraId="25E9E164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3527B88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E59F26A" w14:textId="77777777" w:rsidR="00F717C4" w:rsidRPr="00AF091F" w:rsidRDefault="00F717C4" w:rsidP="00F717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IV.</w:t>
      </w:r>
    </w:p>
    <w:p w14:paraId="7BB59675" w14:textId="77777777" w:rsidR="00F717C4" w:rsidRPr="00AF091F" w:rsidRDefault="00F717C4" w:rsidP="00F717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</w:p>
    <w:p w14:paraId="325C8CC9" w14:textId="77777777" w:rsidR="006A3B91" w:rsidRPr="00AF091F" w:rsidRDefault="006A3D99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Potpisnici Promemorije obvezuju se u roku od </w:t>
      </w:r>
      <w:r w:rsidR="006A3B91" w:rsidRPr="00AF091F">
        <w:rPr>
          <w:rFonts w:ascii="Arial" w:eastAsia="Calibri" w:hAnsi="Arial" w:cs="Arial"/>
          <w:sz w:val="24"/>
          <w:szCs w:val="24"/>
          <w:lang w:val="hr-HR"/>
        </w:rPr>
        <w:t>7 dana imenovati zajedničku radnu grupu koja će imati 7 članova, od kojih će biti 3 predstavnika Vjerovnika, 3 predstavnika Dobavljača i 1 predstavnik članica Grupe koji koordinira radom radne grupe. Cilj radne grupe je:</w:t>
      </w:r>
    </w:p>
    <w:p w14:paraId="0D6225E5" w14:textId="429D0085" w:rsidR="006A3B91" w:rsidRPr="00AF091F" w:rsidRDefault="006A3B91" w:rsidP="007A5B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priopćavanje svrhe i sadržaja Promemorije javnosti i zainteresiranim stranama</w:t>
      </w:r>
    </w:p>
    <w:p w14:paraId="2C29F2E6" w14:textId="24F28F90" w:rsidR="006A3B91" w:rsidRPr="00AF091F" w:rsidRDefault="006A3B91" w:rsidP="007A5B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koordinacija aktivnosti potrebnih za provedbu Promemorije</w:t>
      </w:r>
    </w:p>
    <w:p w14:paraId="55266537" w14:textId="2108DB24" w:rsidR="006A3B91" w:rsidRPr="00AF091F" w:rsidRDefault="006A3B91" w:rsidP="007A5B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davanje prijedloga za eventualne modifikacije Modela </w:t>
      </w:r>
    </w:p>
    <w:p w14:paraId="6BCBC78C" w14:textId="0BD390C2" w:rsidR="006A3B91" w:rsidRPr="00AF091F" w:rsidRDefault="006A3B91" w:rsidP="007A5B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komunikacija s tijelima nadležnim za nadzor rada Vjerovnika i Dobavljača, članicama Grupe u mjeri u kojoj je to nužno za provedbu svrhe i ciljeva Promemorije</w:t>
      </w:r>
    </w:p>
    <w:p w14:paraId="18E20189" w14:textId="77777777" w:rsidR="006A3B91" w:rsidRPr="00AF091F" w:rsidRDefault="006A3B91" w:rsidP="007A5B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omogućavanje okvira za konstruktivan i operativan dijalog i suradnju između Vjerovnika i Dobavljača, kao i osoba koje imaju interes pristupiti Promemoriji u jednoj od tih dviju uloga;</w:t>
      </w:r>
    </w:p>
    <w:p w14:paraId="005A116D" w14:textId="1226D1DA" w:rsidR="00F717C4" w:rsidRPr="00AF091F" w:rsidRDefault="006A3B91" w:rsidP="007A5BE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osigurati uravnoteženo, ujednačeno i dosljedno tumačenje i primjenu načela i Modela prihvaćenih Promemorijom sa svim uključenim stranama </w:t>
      </w:r>
    </w:p>
    <w:p w14:paraId="1A5B2D16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36DD5818" w14:textId="7DD0E964" w:rsidR="00F717C4" w:rsidRPr="00AF091F" w:rsidRDefault="00F717C4" w:rsidP="00F717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V.</w:t>
      </w:r>
    </w:p>
    <w:p w14:paraId="64897447" w14:textId="77777777" w:rsidR="00F717C4" w:rsidRPr="00AF091F" w:rsidRDefault="00F717C4" w:rsidP="00F717C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hr-HR"/>
        </w:rPr>
      </w:pPr>
    </w:p>
    <w:p w14:paraId="096C6EF1" w14:textId="21DCC5C0" w:rsidR="004034C1" w:rsidRPr="00AF091F" w:rsidRDefault="004034C1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Pristupanje Promemoriji omogućeno je svim osobama koje su na dan otvaranja postupka izvanredne uprave nad članicama Grupe bile dobavljač članica Grupe s jedne strane, odnosno koji su financijska ili kreditna institucija koja ima potraživanje koje po svojem opisu odgovara definiciji Potraživanja, s druge strane. </w:t>
      </w:r>
    </w:p>
    <w:p w14:paraId="6DC24636" w14:textId="449A5435" w:rsidR="004034C1" w:rsidRPr="00AF091F" w:rsidRDefault="004034C1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0CE193B3" w14:textId="77777777" w:rsidR="004034C1" w:rsidRPr="00AF091F" w:rsidRDefault="004034C1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283D13F8" w14:textId="77777777" w:rsidR="004034C1" w:rsidRPr="00AF091F" w:rsidRDefault="004034C1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5B8FCDD8" w14:textId="2030EBAB" w:rsidR="005303B3" w:rsidRPr="00AF091F" w:rsidRDefault="005303B3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U Zagrebu, 14. travnja 2017.</w:t>
      </w:r>
    </w:p>
    <w:p w14:paraId="16A99653" w14:textId="77777777" w:rsidR="004034C1" w:rsidRPr="00AF091F" w:rsidRDefault="004034C1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0E50CBE7" w14:textId="5C4417B5" w:rsidR="00F717C4" w:rsidRPr="00AF091F" w:rsidRDefault="005303B3" w:rsidP="007A5B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.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</w:p>
    <w:p w14:paraId="4CAB0EF8" w14:textId="52968A4D" w:rsidR="00F717C4" w:rsidRPr="00AF091F" w:rsidRDefault="005303B3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Agrokor d.d.</w:t>
      </w:r>
    </w:p>
    <w:p w14:paraId="596A26D2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58602140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7AE881B8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___________________________________</w:t>
      </w:r>
    </w:p>
    <w:p w14:paraId="44C55825" w14:textId="77777777" w:rsidR="00F717C4" w:rsidRPr="00AF091F" w:rsidRDefault="00676E6C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Ante Ramljak, izvanredni povjerenik</w:t>
      </w:r>
    </w:p>
    <w:p w14:paraId="61D35749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03C86F2E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3B5DDB27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1AAD3DCA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032820F7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2D184321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16D403A9" w14:textId="77777777" w:rsidR="00F717C4" w:rsidRPr="00AF091F" w:rsidRDefault="00F717C4" w:rsidP="00F717C4">
      <w:pPr>
        <w:spacing w:after="0" w:line="240" w:lineRule="auto"/>
        <w:rPr>
          <w:rFonts w:ascii="Arial" w:eastAsia="Calibri" w:hAnsi="Arial" w:cs="Arial"/>
          <w:sz w:val="24"/>
          <w:szCs w:val="24"/>
          <w:lang w:val="hr-HR"/>
        </w:rPr>
      </w:pPr>
    </w:p>
    <w:p w14:paraId="30280AC8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Prilozi:</w:t>
      </w:r>
    </w:p>
    <w:p w14:paraId="0B326B82" w14:textId="77777777" w:rsidR="00F717C4" w:rsidRPr="00AF091F" w:rsidRDefault="00F717C4" w:rsidP="00F717C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445EE4B" w14:textId="3B4E69B9" w:rsidR="005303B3" w:rsidRPr="00AF091F" w:rsidRDefault="005303B3" w:rsidP="007A5BE3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28530D54" w14:textId="11ADBD2B" w:rsidR="00F717C4" w:rsidRPr="00AF091F" w:rsidRDefault="005303B3" w:rsidP="007A5B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Prilog A: </w:t>
      </w:r>
      <w:r w:rsidR="00F717C4" w:rsidRPr="00AF091F">
        <w:rPr>
          <w:rFonts w:ascii="Arial" w:eastAsia="Calibri" w:hAnsi="Arial" w:cs="Arial"/>
          <w:sz w:val="24"/>
          <w:szCs w:val="24"/>
          <w:lang w:val="hr-HR"/>
        </w:rPr>
        <w:t xml:space="preserve">Popis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Vjerovnika</w:t>
      </w:r>
    </w:p>
    <w:p w14:paraId="6121504E" w14:textId="79C6EF4F" w:rsidR="005303B3" w:rsidRPr="00AF091F" w:rsidRDefault="005303B3" w:rsidP="007A5B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Prilog B: Popis Dobavljača</w:t>
      </w:r>
    </w:p>
    <w:p w14:paraId="57CEB436" w14:textId="2FE459F4" w:rsidR="005303B3" w:rsidRPr="00AF091F" w:rsidRDefault="005303B3" w:rsidP="007A5B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Prilog C: Modeli</w:t>
      </w:r>
    </w:p>
    <w:p w14:paraId="23AB96C5" w14:textId="66FED82D" w:rsidR="005303B3" w:rsidRDefault="005303B3" w:rsidP="007A5B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Prilog D: Pristupnica</w:t>
      </w:r>
    </w:p>
    <w:p w14:paraId="022B3476" w14:textId="77777777" w:rsidR="00FE458E" w:rsidRDefault="00FE458E" w:rsidP="00FE45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6B082A3" w14:textId="77777777" w:rsidR="00FE458E" w:rsidRDefault="00FE458E" w:rsidP="00FE45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0C907239" w14:textId="77777777" w:rsidR="00FE458E" w:rsidRDefault="00FE458E" w:rsidP="00FE45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1C7AA15E" w14:textId="278D5084" w:rsidR="00FE458E" w:rsidRDefault="00FE458E">
      <w:pPr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br w:type="page"/>
      </w:r>
    </w:p>
    <w:p w14:paraId="510743E6" w14:textId="5C0859C0" w:rsidR="00FE458E" w:rsidRDefault="00FE458E" w:rsidP="00FE45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lastRenderedPageBreak/>
        <w:t>Prilog A: Popis Vjerovnika</w:t>
      </w:r>
    </w:p>
    <w:p w14:paraId="7D205275" w14:textId="77777777" w:rsidR="00FE458E" w:rsidRDefault="00FE458E" w:rsidP="00FE45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</w:p>
    <w:p w14:paraId="4767EF58" w14:textId="7955DF94" w:rsidR="00FE458E" w:rsidRPr="00FE458E" w:rsidRDefault="00FE458E" w:rsidP="00FE458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t>Prilog B: Popis Dobavljača</w:t>
      </w:r>
    </w:p>
    <w:p w14:paraId="18B07442" w14:textId="4468C3C5" w:rsidR="00C040F8" w:rsidRPr="00FE458E" w:rsidRDefault="00FE458E">
      <w:pPr>
        <w:rPr>
          <w:rFonts w:ascii="Arial" w:eastAsia="Calibri" w:hAnsi="Arial" w:cs="Arial"/>
          <w:sz w:val="24"/>
          <w:szCs w:val="24"/>
          <w:lang w:val="hr-HR"/>
        </w:rPr>
      </w:pPr>
      <w:r>
        <w:rPr>
          <w:rFonts w:ascii="Arial" w:eastAsia="Calibri" w:hAnsi="Arial" w:cs="Arial"/>
          <w:sz w:val="24"/>
          <w:szCs w:val="24"/>
          <w:lang w:val="hr-HR"/>
        </w:rPr>
        <w:br w:type="page"/>
      </w:r>
    </w:p>
    <w:p w14:paraId="16234870" w14:textId="1C2E7997" w:rsidR="001F6173" w:rsidRDefault="001F6173">
      <w:pPr>
        <w:rPr>
          <w:rFonts w:ascii="Arial" w:hAnsi="Arial" w:cs="Arial"/>
          <w:sz w:val="24"/>
          <w:szCs w:val="24"/>
        </w:rPr>
      </w:pPr>
    </w:p>
    <w:p w14:paraId="3DFB61FC" w14:textId="77777777" w:rsidR="00FE458E" w:rsidRPr="00AF091F" w:rsidRDefault="00FE458E">
      <w:pPr>
        <w:rPr>
          <w:rFonts w:ascii="Arial" w:hAnsi="Arial" w:cs="Arial"/>
          <w:sz w:val="24"/>
          <w:szCs w:val="24"/>
        </w:rPr>
      </w:pPr>
    </w:p>
    <w:p w14:paraId="5BF852B9" w14:textId="6E6F1E15" w:rsidR="001F6173" w:rsidRPr="00AF091F" w:rsidRDefault="001F6173">
      <w:pPr>
        <w:rPr>
          <w:rFonts w:ascii="Arial" w:hAnsi="Arial" w:cs="Arial"/>
          <w:sz w:val="24"/>
          <w:szCs w:val="24"/>
        </w:rPr>
      </w:pPr>
      <w:proofErr w:type="spellStart"/>
      <w:r w:rsidRPr="00AF091F">
        <w:rPr>
          <w:rFonts w:ascii="Arial" w:hAnsi="Arial" w:cs="Arial"/>
          <w:sz w:val="24"/>
          <w:szCs w:val="24"/>
        </w:rPr>
        <w:t>Prilog</w:t>
      </w:r>
      <w:proofErr w:type="spellEnd"/>
      <w:r w:rsidRPr="00AF091F">
        <w:rPr>
          <w:rFonts w:ascii="Arial" w:hAnsi="Arial" w:cs="Arial"/>
          <w:sz w:val="24"/>
          <w:szCs w:val="24"/>
        </w:rPr>
        <w:t xml:space="preserve"> C:</w:t>
      </w:r>
      <w:r w:rsidR="00FE45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458E">
        <w:rPr>
          <w:rFonts w:ascii="Arial" w:hAnsi="Arial" w:cs="Arial"/>
          <w:sz w:val="24"/>
          <w:szCs w:val="24"/>
        </w:rPr>
        <w:t>Modeli</w:t>
      </w:r>
      <w:proofErr w:type="spellEnd"/>
    </w:p>
    <w:p w14:paraId="5DC5D882" w14:textId="77777777" w:rsidR="00503C2C" w:rsidRPr="00AF091F" w:rsidRDefault="00503C2C">
      <w:pPr>
        <w:rPr>
          <w:rFonts w:ascii="Arial" w:hAnsi="Arial" w:cs="Arial"/>
          <w:sz w:val="24"/>
          <w:szCs w:val="24"/>
        </w:rPr>
      </w:pPr>
    </w:p>
    <w:p w14:paraId="0A0FD05E" w14:textId="190194D1" w:rsidR="00503C2C" w:rsidRPr="00AF091F" w:rsidRDefault="00503C2C">
      <w:pPr>
        <w:rPr>
          <w:rFonts w:ascii="Arial" w:hAnsi="Arial" w:cs="Arial"/>
          <w:sz w:val="24"/>
          <w:szCs w:val="24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Primjeri Modela kojima Dobavljači i Vjerovnici mogu urediti međusobne odnose u vezi Potraživanja:</w:t>
      </w:r>
    </w:p>
    <w:p w14:paraId="76D7A337" w14:textId="054AAD12" w:rsidR="00503C2C" w:rsidRPr="00AF091F" w:rsidRDefault="00503C2C" w:rsidP="00503C2C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j</w:t>
      </w:r>
      <w:r w:rsidR="001F6173" w:rsidRPr="00AF091F">
        <w:rPr>
          <w:rFonts w:ascii="Arial" w:eastAsia="Calibri" w:hAnsi="Arial" w:cs="Arial"/>
          <w:sz w:val="24"/>
          <w:szCs w:val="24"/>
          <w:lang w:val="hr-HR"/>
        </w:rPr>
        <w:t>ednokratno plaćanje te</w:t>
      </w:r>
      <w:r w:rsidR="00AC50A5" w:rsidRPr="00AF091F">
        <w:rPr>
          <w:rFonts w:ascii="Arial" w:eastAsia="Calibri" w:hAnsi="Arial" w:cs="Arial"/>
          <w:sz w:val="24"/>
          <w:szCs w:val="24"/>
          <w:lang w:val="hr-HR"/>
        </w:rPr>
        <w:t>meljem regresa i povrat Potraživanja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;</w:t>
      </w:r>
    </w:p>
    <w:p w14:paraId="038F0CB6" w14:textId="5B54B94A" w:rsidR="00503C2C" w:rsidRPr="00AF091F" w:rsidRDefault="00503C2C" w:rsidP="00503C2C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o</w:t>
      </w:r>
      <w:r w:rsidR="001F6173" w:rsidRPr="00AF091F">
        <w:rPr>
          <w:rFonts w:ascii="Arial" w:eastAsia="Calibri" w:hAnsi="Arial" w:cs="Arial"/>
          <w:sz w:val="24"/>
          <w:szCs w:val="24"/>
          <w:lang w:val="hr-HR"/>
        </w:rPr>
        <w:t xml:space="preserve">dgođeno plaćanje </w:t>
      </w:r>
      <w:r w:rsidR="00AC50A5" w:rsidRPr="00AF091F">
        <w:rPr>
          <w:rFonts w:ascii="Arial" w:eastAsia="Calibri" w:hAnsi="Arial" w:cs="Arial"/>
          <w:sz w:val="24"/>
          <w:szCs w:val="24"/>
          <w:lang w:val="hr-HR"/>
        </w:rPr>
        <w:t xml:space="preserve">Potraživanja </w:t>
      </w:r>
      <w:r w:rsidR="001A11A1">
        <w:rPr>
          <w:rFonts w:ascii="Arial" w:eastAsia="Calibri" w:hAnsi="Arial" w:cs="Arial"/>
          <w:sz w:val="24"/>
          <w:szCs w:val="24"/>
          <w:lang w:val="hr-HR"/>
        </w:rPr>
        <w:t xml:space="preserve">do obustave postupka izvanredne uprave uz </w:t>
      </w:r>
      <w:r w:rsidR="00AC50A5" w:rsidRPr="00AF091F">
        <w:rPr>
          <w:rFonts w:ascii="Arial" w:eastAsia="Calibri" w:hAnsi="Arial" w:cs="Arial"/>
          <w:sz w:val="24"/>
          <w:szCs w:val="24"/>
          <w:lang w:val="hr-HR"/>
        </w:rPr>
        <w:t>pozitivno</w:t>
      </w:r>
      <w:r w:rsidR="001A11A1">
        <w:rPr>
          <w:rFonts w:ascii="Arial" w:eastAsia="Calibri" w:hAnsi="Arial" w:cs="Arial"/>
          <w:sz w:val="24"/>
          <w:szCs w:val="24"/>
          <w:lang w:val="hr-HR"/>
        </w:rPr>
        <w:t xml:space="preserve"> mišljenje</w:t>
      </w:r>
      <w:bookmarkStart w:id="0" w:name="_GoBack"/>
      <w:bookmarkEnd w:id="0"/>
      <w:r w:rsidR="00AC50A5" w:rsidRPr="00AF091F">
        <w:rPr>
          <w:rFonts w:ascii="Arial" w:eastAsia="Calibri" w:hAnsi="Arial" w:cs="Arial"/>
          <w:sz w:val="24"/>
          <w:szCs w:val="24"/>
          <w:lang w:val="hr-HR"/>
        </w:rPr>
        <w:t xml:space="preserve"> tijela nadležnog za nadzor rada Vjerovnika;</w:t>
      </w:r>
    </w:p>
    <w:p w14:paraId="6A695FBE" w14:textId="37E20C6E" w:rsidR="00AC50A5" w:rsidRPr="00AF091F" w:rsidRDefault="001F6173" w:rsidP="00503C2C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kreditom odobrenim od kreditnih institucija – </w:t>
      </w:r>
      <w:r w:rsidR="00AC50A5" w:rsidRPr="00AF091F">
        <w:rPr>
          <w:rFonts w:ascii="Arial" w:eastAsia="Calibri" w:hAnsi="Arial" w:cs="Arial"/>
          <w:sz w:val="24"/>
          <w:szCs w:val="24"/>
          <w:lang w:val="hr-HR"/>
        </w:rPr>
        <w:t>Dobavljač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 xml:space="preserve"> sklapa s </w:t>
      </w:r>
      <w:r w:rsidR="00AC50A5" w:rsidRPr="00AF091F">
        <w:rPr>
          <w:rFonts w:ascii="Arial" w:eastAsia="Calibri" w:hAnsi="Arial" w:cs="Arial"/>
          <w:sz w:val="24"/>
          <w:szCs w:val="24"/>
          <w:lang w:val="hr-HR"/>
        </w:rPr>
        <w:t xml:space="preserve">Vjerovnikom koji je kreditna institucija ili drugim </w:t>
      </w:r>
      <w:r w:rsidRPr="00AF091F">
        <w:rPr>
          <w:rFonts w:ascii="Arial" w:eastAsia="Calibri" w:hAnsi="Arial" w:cs="Arial"/>
          <w:sz w:val="24"/>
          <w:szCs w:val="24"/>
          <w:lang w:val="hr-HR"/>
        </w:rPr>
        <w:t>kreditorom ugovor o kreditu po b</w:t>
      </w:r>
      <w:r w:rsidR="00AC50A5" w:rsidRPr="00AF091F">
        <w:rPr>
          <w:rFonts w:ascii="Arial" w:eastAsia="Calibri" w:hAnsi="Arial" w:cs="Arial"/>
          <w:sz w:val="24"/>
          <w:szCs w:val="24"/>
          <w:lang w:val="hr-HR"/>
        </w:rPr>
        <w:t>ilateralno dogovorenim uvjetima</w:t>
      </w:r>
      <w:r w:rsidR="00FE458E">
        <w:rPr>
          <w:rFonts w:ascii="Arial" w:eastAsia="Calibri" w:hAnsi="Arial" w:cs="Arial"/>
          <w:sz w:val="24"/>
          <w:szCs w:val="24"/>
          <w:lang w:val="hr-HR"/>
        </w:rPr>
        <w:t>;</w:t>
      </w:r>
    </w:p>
    <w:p w14:paraId="3B4DEC03" w14:textId="54F6288D" w:rsidR="001F6173" w:rsidRPr="00AF091F" w:rsidRDefault="00AC50A5" w:rsidP="00503C2C">
      <w:pPr>
        <w:pStyle w:val="ListParagraph"/>
        <w:numPr>
          <w:ilvl w:val="0"/>
          <w:numId w:val="17"/>
        </w:numPr>
        <w:rPr>
          <w:rFonts w:ascii="Arial" w:eastAsia="Calibri" w:hAnsi="Arial" w:cs="Arial"/>
          <w:sz w:val="24"/>
          <w:szCs w:val="24"/>
          <w:lang w:val="hr-HR"/>
        </w:rPr>
      </w:pPr>
      <w:r w:rsidRPr="00AF091F">
        <w:rPr>
          <w:rFonts w:ascii="Arial" w:eastAsia="Calibri" w:hAnsi="Arial" w:cs="Arial"/>
          <w:sz w:val="24"/>
          <w:szCs w:val="24"/>
          <w:lang w:val="hr-HR"/>
        </w:rPr>
        <w:t>e</w:t>
      </w:r>
      <w:r w:rsidR="001F6173" w:rsidRPr="00AF091F">
        <w:rPr>
          <w:rFonts w:ascii="Arial" w:eastAsia="Calibri" w:hAnsi="Arial" w:cs="Arial"/>
          <w:sz w:val="24"/>
          <w:szCs w:val="24"/>
          <w:lang w:val="hr-HR"/>
        </w:rPr>
        <w:t>ventualni drugi način rje</w:t>
      </w:r>
      <w:r w:rsidR="00503C2C" w:rsidRPr="00AF091F">
        <w:rPr>
          <w:rFonts w:ascii="Arial" w:eastAsia="Calibri" w:hAnsi="Arial" w:cs="Arial"/>
          <w:sz w:val="24"/>
          <w:szCs w:val="24"/>
          <w:lang w:val="hr-HR"/>
        </w:rPr>
        <w:t>šavanja bilateralno prihvatljiv</w:t>
      </w:r>
      <w:r w:rsidR="001F6173" w:rsidRPr="00AF091F">
        <w:rPr>
          <w:rFonts w:ascii="Arial" w:eastAsia="Calibri" w:hAnsi="Arial" w:cs="Arial"/>
          <w:sz w:val="24"/>
          <w:szCs w:val="24"/>
          <w:lang w:val="hr-HR"/>
        </w:rPr>
        <w:t xml:space="preserve"> </w:t>
      </w:r>
      <w:r w:rsidR="00503C2C" w:rsidRPr="00AF091F">
        <w:rPr>
          <w:rFonts w:ascii="Arial" w:eastAsia="Calibri" w:hAnsi="Arial" w:cs="Arial"/>
          <w:sz w:val="24"/>
          <w:szCs w:val="24"/>
          <w:lang w:val="hr-HR"/>
        </w:rPr>
        <w:t>Vjerovniku i Dobavljaču</w:t>
      </w:r>
      <w:r w:rsidR="001F6173" w:rsidRPr="00AF091F">
        <w:rPr>
          <w:rFonts w:ascii="Arial" w:eastAsia="Calibri" w:hAnsi="Arial" w:cs="Arial"/>
          <w:sz w:val="24"/>
          <w:szCs w:val="24"/>
          <w:lang w:val="hr-HR"/>
        </w:rPr>
        <w:t xml:space="preserve">. </w:t>
      </w:r>
    </w:p>
    <w:p w14:paraId="54FA5E45" w14:textId="77777777" w:rsidR="00AF091F" w:rsidRDefault="00AF091F">
      <w:pPr>
        <w:rPr>
          <w:rFonts w:ascii="Arial" w:hAnsi="Arial" w:cs="Arial"/>
          <w:sz w:val="24"/>
          <w:szCs w:val="24"/>
        </w:rPr>
      </w:pPr>
    </w:p>
    <w:p w14:paraId="23FF70E8" w14:textId="77777777" w:rsidR="00AF091F" w:rsidRDefault="00AF091F">
      <w:pPr>
        <w:rPr>
          <w:rFonts w:ascii="Arial" w:hAnsi="Arial" w:cs="Arial"/>
          <w:sz w:val="24"/>
          <w:szCs w:val="24"/>
        </w:rPr>
      </w:pPr>
    </w:p>
    <w:p w14:paraId="199B4714" w14:textId="77777777" w:rsidR="00AF091F" w:rsidRDefault="00AF091F">
      <w:pPr>
        <w:rPr>
          <w:rFonts w:ascii="Arial" w:hAnsi="Arial" w:cs="Arial"/>
          <w:sz w:val="24"/>
          <w:szCs w:val="24"/>
        </w:rPr>
      </w:pPr>
    </w:p>
    <w:p w14:paraId="75029916" w14:textId="77777777" w:rsidR="00AF091F" w:rsidRDefault="00AF091F">
      <w:pPr>
        <w:rPr>
          <w:rFonts w:ascii="Arial" w:hAnsi="Arial" w:cs="Arial"/>
          <w:sz w:val="24"/>
          <w:szCs w:val="24"/>
        </w:rPr>
      </w:pPr>
    </w:p>
    <w:p w14:paraId="608A63A3" w14:textId="04D42AC6" w:rsidR="001F6173" w:rsidRDefault="00AF091F">
      <w:pPr>
        <w:rPr>
          <w:rFonts w:ascii="Arial" w:hAnsi="Arial" w:cs="Arial"/>
          <w:sz w:val="24"/>
          <w:szCs w:val="24"/>
        </w:rPr>
      </w:pPr>
      <w:r w:rsidRPr="00AF091F">
        <w:rPr>
          <w:rFonts w:ascii="Arial" w:hAnsi="Arial" w:cs="Arial"/>
          <w:sz w:val="24"/>
          <w:szCs w:val="24"/>
        </w:rPr>
        <w:t>PRILOG D</w:t>
      </w:r>
      <w:r>
        <w:rPr>
          <w:rFonts w:ascii="Arial" w:hAnsi="Arial" w:cs="Arial"/>
          <w:sz w:val="24"/>
          <w:szCs w:val="24"/>
        </w:rPr>
        <w:t>:</w:t>
      </w:r>
    </w:p>
    <w:p w14:paraId="71BD4385" w14:textId="77777777" w:rsidR="00AF091F" w:rsidRDefault="00AF091F">
      <w:pPr>
        <w:rPr>
          <w:rFonts w:ascii="Arial" w:hAnsi="Arial" w:cs="Arial"/>
          <w:sz w:val="24"/>
          <w:szCs w:val="24"/>
        </w:rPr>
      </w:pPr>
    </w:p>
    <w:p w14:paraId="5A799F4E" w14:textId="7FB7E47D" w:rsidR="00AF091F" w:rsidRDefault="00AF091F" w:rsidP="00AF09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 R I S T U P N I C A</w:t>
      </w:r>
    </w:p>
    <w:p w14:paraId="5DA7BBAD" w14:textId="77777777" w:rsidR="006F015B" w:rsidRDefault="006F015B" w:rsidP="00AF091F">
      <w:pPr>
        <w:jc w:val="center"/>
        <w:rPr>
          <w:rFonts w:ascii="Arial" w:hAnsi="Arial" w:cs="Arial"/>
          <w:sz w:val="24"/>
          <w:szCs w:val="24"/>
        </w:rPr>
      </w:pPr>
    </w:p>
    <w:p w14:paraId="4CC58738" w14:textId="77777777" w:rsidR="00AF091F" w:rsidRDefault="00AF091F" w:rsidP="00AF091F">
      <w:pPr>
        <w:jc w:val="center"/>
        <w:rPr>
          <w:rFonts w:ascii="Arial" w:hAnsi="Arial" w:cs="Arial"/>
          <w:sz w:val="24"/>
          <w:szCs w:val="24"/>
        </w:rPr>
      </w:pPr>
    </w:p>
    <w:p w14:paraId="1A967263" w14:textId="0FEEC641" w:rsidR="00AF091F" w:rsidRPr="00AF091F" w:rsidRDefault="00AF091F" w:rsidP="00AF091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hr-HR"/>
        </w:rPr>
      </w:pPr>
      <w:proofErr w:type="spellStart"/>
      <w:r>
        <w:rPr>
          <w:rFonts w:ascii="Arial" w:hAnsi="Arial" w:cs="Arial"/>
          <w:sz w:val="24"/>
          <w:szCs w:val="24"/>
        </w:rPr>
        <w:t>kojom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_________________, ___________________, OIB__________________, </w:t>
      </w:r>
      <w:proofErr w:type="spellStart"/>
      <w:r>
        <w:rPr>
          <w:rFonts w:ascii="Arial" w:hAnsi="Arial" w:cs="Arial"/>
          <w:sz w:val="24"/>
          <w:szCs w:val="24"/>
        </w:rPr>
        <w:t>zastupan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_____________ ______________ _______________ ____________ </w:t>
      </w:r>
      <w:proofErr w:type="spellStart"/>
      <w:r>
        <w:rPr>
          <w:rFonts w:ascii="Arial" w:hAnsi="Arial" w:cs="Arial"/>
          <w:sz w:val="24"/>
          <w:szCs w:val="24"/>
        </w:rPr>
        <w:t>izjavljuje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pristupa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C37">
        <w:rPr>
          <w:rFonts w:ascii="Arial" w:hAnsi="Arial" w:cs="Arial"/>
          <w:sz w:val="24"/>
          <w:szCs w:val="24"/>
        </w:rPr>
        <w:t>Prom</w:t>
      </w:r>
      <w:r w:rsidR="006F015B">
        <w:rPr>
          <w:rFonts w:ascii="Arial" w:hAnsi="Arial" w:cs="Arial"/>
          <w:sz w:val="24"/>
          <w:szCs w:val="24"/>
        </w:rPr>
        <w:t>emoriji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sa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sastanka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koordinacije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dobavljača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F015B">
        <w:rPr>
          <w:rFonts w:ascii="Arial" w:hAnsi="Arial" w:cs="Arial"/>
          <w:sz w:val="24"/>
          <w:szCs w:val="24"/>
        </w:rPr>
        <w:t>financijskih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institucija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i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društva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Agrokor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5B">
        <w:rPr>
          <w:rFonts w:ascii="Arial" w:hAnsi="Arial" w:cs="Arial"/>
          <w:sz w:val="24"/>
          <w:szCs w:val="24"/>
        </w:rPr>
        <w:t>d.d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015B">
        <w:rPr>
          <w:rFonts w:ascii="Arial" w:hAnsi="Arial" w:cs="Arial"/>
          <w:sz w:val="24"/>
          <w:szCs w:val="24"/>
        </w:rPr>
        <w:t>održanog</w:t>
      </w:r>
      <w:proofErr w:type="spellEnd"/>
      <w:r w:rsidR="006F015B">
        <w:rPr>
          <w:rFonts w:ascii="Arial" w:hAnsi="Arial" w:cs="Arial"/>
          <w:sz w:val="24"/>
          <w:szCs w:val="24"/>
        </w:rPr>
        <w:t xml:space="preserve"> dana 14.04.2017. </w:t>
      </w:r>
    </w:p>
    <w:p w14:paraId="50E15A44" w14:textId="31EC1E80" w:rsidR="00AF091F" w:rsidRDefault="00AF091F" w:rsidP="00AF091F">
      <w:pPr>
        <w:jc w:val="both"/>
        <w:rPr>
          <w:rFonts w:ascii="Arial" w:hAnsi="Arial" w:cs="Arial"/>
          <w:sz w:val="24"/>
          <w:szCs w:val="24"/>
        </w:rPr>
      </w:pPr>
    </w:p>
    <w:p w14:paraId="06D7BCCF" w14:textId="77777777" w:rsidR="006F015B" w:rsidRDefault="006F015B" w:rsidP="00AF091F">
      <w:pPr>
        <w:jc w:val="both"/>
        <w:rPr>
          <w:rFonts w:ascii="Arial" w:hAnsi="Arial" w:cs="Arial"/>
          <w:sz w:val="24"/>
          <w:szCs w:val="24"/>
        </w:rPr>
      </w:pPr>
    </w:p>
    <w:p w14:paraId="1D730653" w14:textId="37B70B4D" w:rsidR="006F015B" w:rsidRDefault="006F015B" w:rsidP="00AF09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14:paraId="60C66FAC" w14:textId="04395F72" w:rsidR="006F015B" w:rsidRDefault="006F015B" w:rsidP="00AF09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14:paraId="5638757E" w14:textId="77777777" w:rsidR="006F015B" w:rsidRDefault="006F015B" w:rsidP="00AF091F">
      <w:pPr>
        <w:jc w:val="both"/>
        <w:rPr>
          <w:rFonts w:ascii="Arial" w:hAnsi="Arial" w:cs="Arial"/>
          <w:sz w:val="24"/>
          <w:szCs w:val="24"/>
        </w:rPr>
      </w:pPr>
    </w:p>
    <w:p w14:paraId="4F00405C" w14:textId="77777777" w:rsidR="006F015B" w:rsidRDefault="006F015B" w:rsidP="00AF091F">
      <w:pPr>
        <w:jc w:val="both"/>
        <w:rPr>
          <w:rFonts w:ascii="Arial" w:hAnsi="Arial" w:cs="Arial"/>
          <w:sz w:val="24"/>
          <w:szCs w:val="24"/>
        </w:rPr>
      </w:pPr>
    </w:p>
    <w:p w14:paraId="57B1DE3D" w14:textId="77777777" w:rsidR="006F015B" w:rsidRPr="00AF091F" w:rsidRDefault="006F015B" w:rsidP="00AF091F">
      <w:pPr>
        <w:jc w:val="both"/>
        <w:rPr>
          <w:rFonts w:ascii="Arial" w:hAnsi="Arial" w:cs="Arial"/>
          <w:sz w:val="24"/>
          <w:szCs w:val="24"/>
        </w:rPr>
      </w:pPr>
    </w:p>
    <w:sectPr w:rsidR="006F015B" w:rsidRPr="00AF091F" w:rsidSect="00B212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44EDA"/>
    <w:multiLevelType w:val="hybridMultilevel"/>
    <w:tmpl w:val="B0B81520"/>
    <w:lvl w:ilvl="0" w:tplc="9650DE6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C7ACA"/>
    <w:multiLevelType w:val="hybridMultilevel"/>
    <w:tmpl w:val="7F36B954"/>
    <w:lvl w:ilvl="0" w:tplc="F11C7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E1252"/>
    <w:multiLevelType w:val="hybridMultilevel"/>
    <w:tmpl w:val="0CD8FD9E"/>
    <w:lvl w:ilvl="0" w:tplc="041A000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F5742"/>
    <w:multiLevelType w:val="hybridMultilevel"/>
    <w:tmpl w:val="A4666FB0"/>
    <w:lvl w:ilvl="0" w:tplc="F11C74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1D99"/>
    <w:multiLevelType w:val="hybridMultilevel"/>
    <w:tmpl w:val="EFCE68F0"/>
    <w:lvl w:ilvl="0" w:tplc="842E7AF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520E4"/>
    <w:multiLevelType w:val="hybridMultilevel"/>
    <w:tmpl w:val="4AEA57C2"/>
    <w:lvl w:ilvl="0" w:tplc="F76212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1E9"/>
    <w:multiLevelType w:val="hybridMultilevel"/>
    <w:tmpl w:val="CD328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3564B"/>
    <w:multiLevelType w:val="hybridMultilevel"/>
    <w:tmpl w:val="6BBEEC08"/>
    <w:lvl w:ilvl="0" w:tplc="F11C74A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BA1D85"/>
    <w:multiLevelType w:val="hybridMultilevel"/>
    <w:tmpl w:val="51FEFD56"/>
    <w:lvl w:ilvl="0" w:tplc="F11C7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F6B01"/>
    <w:multiLevelType w:val="hybridMultilevel"/>
    <w:tmpl w:val="C956A164"/>
    <w:lvl w:ilvl="0" w:tplc="F11C7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26309"/>
    <w:multiLevelType w:val="hybridMultilevel"/>
    <w:tmpl w:val="1D18A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5317A"/>
    <w:multiLevelType w:val="hybridMultilevel"/>
    <w:tmpl w:val="8FB475B6"/>
    <w:lvl w:ilvl="0" w:tplc="F11C74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65443"/>
    <w:multiLevelType w:val="hybridMultilevel"/>
    <w:tmpl w:val="ADAAF11C"/>
    <w:lvl w:ilvl="0" w:tplc="F11C7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454D6"/>
    <w:multiLevelType w:val="hybridMultilevel"/>
    <w:tmpl w:val="8D0ED5DC"/>
    <w:lvl w:ilvl="0" w:tplc="08785C8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9D67B4"/>
    <w:multiLevelType w:val="hybridMultilevel"/>
    <w:tmpl w:val="F4B8DD6A"/>
    <w:lvl w:ilvl="0" w:tplc="F11C7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427"/>
    <w:multiLevelType w:val="hybridMultilevel"/>
    <w:tmpl w:val="A7F61080"/>
    <w:lvl w:ilvl="0" w:tplc="082CC122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255B3B"/>
    <w:multiLevelType w:val="hybridMultilevel"/>
    <w:tmpl w:val="6C28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E0FF2">
      <w:start w:val="5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16"/>
  </w:num>
  <w:num w:numId="8">
    <w:abstractNumId w:val="12"/>
  </w:num>
  <w:num w:numId="9">
    <w:abstractNumId w:val="14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9"/>
  </w:num>
  <w:num w:numId="15">
    <w:abstractNumId w:val="15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C4"/>
    <w:rsid w:val="00027B04"/>
    <w:rsid w:val="00064E5A"/>
    <w:rsid w:val="000736BC"/>
    <w:rsid w:val="000A3FD9"/>
    <w:rsid w:val="001A11A1"/>
    <w:rsid w:val="001F2E4F"/>
    <w:rsid w:val="001F6173"/>
    <w:rsid w:val="002C283E"/>
    <w:rsid w:val="003109D9"/>
    <w:rsid w:val="00314A54"/>
    <w:rsid w:val="00364B31"/>
    <w:rsid w:val="003B05BE"/>
    <w:rsid w:val="003D2AAC"/>
    <w:rsid w:val="003E7E2F"/>
    <w:rsid w:val="004012E8"/>
    <w:rsid w:val="004034C1"/>
    <w:rsid w:val="00503C2C"/>
    <w:rsid w:val="00520B9E"/>
    <w:rsid w:val="005303B3"/>
    <w:rsid w:val="0055317B"/>
    <w:rsid w:val="00567DF0"/>
    <w:rsid w:val="00575D09"/>
    <w:rsid w:val="005F74E6"/>
    <w:rsid w:val="00676E6C"/>
    <w:rsid w:val="006A3B91"/>
    <w:rsid w:val="006A3D99"/>
    <w:rsid w:val="006F015B"/>
    <w:rsid w:val="00742E81"/>
    <w:rsid w:val="007636B4"/>
    <w:rsid w:val="007A5BE3"/>
    <w:rsid w:val="00807ED3"/>
    <w:rsid w:val="008125FB"/>
    <w:rsid w:val="008341A9"/>
    <w:rsid w:val="008A3D55"/>
    <w:rsid w:val="00AC1357"/>
    <w:rsid w:val="00AC50A5"/>
    <w:rsid w:val="00AC7C37"/>
    <w:rsid w:val="00AF091F"/>
    <w:rsid w:val="00B21256"/>
    <w:rsid w:val="00B8780C"/>
    <w:rsid w:val="00B906BF"/>
    <w:rsid w:val="00BA123E"/>
    <w:rsid w:val="00BA533E"/>
    <w:rsid w:val="00BC6E02"/>
    <w:rsid w:val="00C040F8"/>
    <w:rsid w:val="00C06D6C"/>
    <w:rsid w:val="00D65666"/>
    <w:rsid w:val="00DD2090"/>
    <w:rsid w:val="00E53749"/>
    <w:rsid w:val="00E83340"/>
    <w:rsid w:val="00F51A54"/>
    <w:rsid w:val="00F5605B"/>
    <w:rsid w:val="00F717C4"/>
    <w:rsid w:val="00FE458E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886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D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6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A3FD9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1F61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EDC4E1-CBB4-8B4E-95BE-6EE80A06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1097</Words>
  <Characters>6253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 Grupa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Vranković</dc:creator>
  <cp:keywords/>
  <dc:description/>
  <cp:lastModifiedBy>Zvonimir Buterin</cp:lastModifiedBy>
  <cp:revision>6</cp:revision>
  <cp:lastPrinted>2017-04-14T09:26:00Z</cp:lastPrinted>
  <dcterms:created xsi:type="dcterms:W3CDTF">2017-04-14T14:02:00Z</dcterms:created>
  <dcterms:modified xsi:type="dcterms:W3CDTF">2017-04-14T15:56:00Z</dcterms:modified>
</cp:coreProperties>
</file>